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E503E">
      <w:pPr>
        <w:autoSpaceDE w:val="0"/>
        <w:autoSpaceDN w:val="0"/>
        <w:adjustRightInd w:val="0"/>
        <w:spacing w:line="360" w:lineRule="auto"/>
        <w:jc w:val="center"/>
        <w:rPr>
          <w:rFonts w:hint="default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证券</w:t>
      </w:r>
      <w:r>
        <w:rPr>
          <w:color w:val="000000"/>
          <w:sz w:val="24"/>
        </w:rPr>
        <w:t xml:space="preserve">代码：000863  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证券</w:t>
      </w:r>
      <w:r>
        <w:rPr>
          <w:color w:val="000000"/>
          <w:sz w:val="24"/>
        </w:rPr>
        <w:t>简称：三湘</w:t>
      </w:r>
      <w:r>
        <w:rPr>
          <w:rFonts w:hint="eastAsia"/>
          <w:color w:val="000000"/>
          <w:sz w:val="24"/>
        </w:rPr>
        <w:t>印象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公告编号：20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color w:val="000000"/>
          <w:sz w:val="24"/>
        </w:rPr>
        <w:t>-</w:t>
      </w:r>
      <w:r>
        <w:rPr>
          <w:rFonts w:hint="eastAsia"/>
          <w:color w:val="000000"/>
          <w:sz w:val="24"/>
        </w:rPr>
        <w:t>0</w:t>
      </w:r>
      <w:r>
        <w:rPr>
          <w:rFonts w:hint="eastAsia"/>
          <w:color w:val="000000"/>
          <w:sz w:val="24"/>
          <w:lang w:val="en-US" w:eastAsia="zh-CN"/>
        </w:rPr>
        <w:t>29</w:t>
      </w:r>
    </w:p>
    <w:p w14:paraId="4AFA885A">
      <w:pPr>
        <w:spacing w:line="360" w:lineRule="auto"/>
        <w:jc w:val="center"/>
        <w:rPr>
          <w:b/>
          <w:bCs/>
          <w:color w:val="FF0000"/>
          <w:sz w:val="32"/>
          <w:szCs w:val="30"/>
        </w:rPr>
      </w:pPr>
      <w:r>
        <w:rPr>
          <w:rFonts w:hint="eastAsia"/>
          <w:b/>
          <w:bCs/>
          <w:color w:val="FF0000"/>
          <w:sz w:val="32"/>
          <w:szCs w:val="30"/>
        </w:rPr>
        <w:t>三湘印象股份有限公司</w:t>
      </w:r>
    </w:p>
    <w:p w14:paraId="24179F67">
      <w:pPr>
        <w:snapToGrid w:val="0"/>
        <w:spacing w:line="360" w:lineRule="auto"/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2024年半年度</w:t>
      </w:r>
      <w:r>
        <w:rPr>
          <w:rFonts w:hint="eastAsia"/>
          <w:b/>
          <w:bCs/>
          <w:color w:val="FF0000"/>
          <w:sz w:val="32"/>
          <w:szCs w:val="32"/>
        </w:rPr>
        <w:t>业绩预告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68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B6399">
            <w:pPr>
              <w:autoSpaceDE w:val="0"/>
              <w:autoSpaceDN w:val="0"/>
              <w:adjustRightInd w:val="0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本公司及董事会全体成员保证信息披露内容的真实、准确和完整，没有虚假记载、误导性陈述或重大遗漏。</w:t>
            </w:r>
          </w:p>
        </w:tc>
      </w:tr>
    </w:tbl>
    <w:p w14:paraId="5CE6DDAB">
      <w:pPr>
        <w:tabs>
          <w:tab w:val="left" w:pos="3240"/>
        </w:tabs>
        <w:spacing w:before="190" w:beforeLines="50"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一、本期业绩预计情况</w:t>
      </w:r>
    </w:p>
    <w:p w14:paraId="5B8F2FFD">
      <w:pPr>
        <w:tabs>
          <w:tab w:val="left" w:pos="3240"/>
        </w:tabs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1、业绩预告期间：</w:t>
      </w:r>
      <w:r>
        <w:rPr>
          <w:rFonts w:hint="eastAsia"/>
          <w:sz w:val="24"/>
          <w:lang w:eastAsia="zh-CN"/>
        </w:rPr>
        <w:t>2024年</w:t>
      </w:r>
      <w:r>
        <w:rPr>
          <w:rFonts w:hint="eastAsia"/>
          <w:sz w:val="24"/>
        </w:rPr>
        <w:t>1月1日至</w:t>
      </w:r>
      <w:r>
        <w:rPr>
          <w:rFonts w:hint="eastAsia"/>
          <w:sz w:val="24"/>
          <w:lang w:eastAsia="zh-CN"/>
        </w:rPr>
        <w:t>2024年</w:t>
      </w:r>
      <w:r>
        <w:rPr>
          <w:rFonts w:hint="eastAsia"/>
          <w:sz w:val="24"/>
        </w:rPr>
        <w:t>6月30日</w:t>
      </w:r>
    </w:p>
    <w:p w14:paraId="6BDED776">
      <w:pPr>
        <w:tabs>
          <w:tab w:val="left" w:pos="3240"/>
        </w:tabs>
        <w:snapToGrid w:val="0"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2、预计的经营业绩：</w:t>
      </w:r>
      <w:r>
        <w:rPr>
          <w:rFonts w:hint="eastAsia"/>
          <w:sz w:val="24"/>
          <w:lang w:val="en-US" w:eastAsia="zh-CN"/>
        </w:rPr>
        <w:t>扭亏为盈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843"/>
        <w:gridCol w:w="2753"/>
      </w:tblGrid>
      <w:tr w14:paraId="19363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6CE72">
            <w:pPr>
              <w:tabs>
                <w:tab w:val="left" w:pos="3240"/>
              </w:tabs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项  目</w:t>
            </w:r>
          </w:p>
        </w:tc>
        <w:tc>
          <w:tcPr>
            <w:tcW w:w="2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3E9E4">
            <w:pPr>
              <w:tabs>
                <w:tab w:val="left" w:pos="3240"/>
              </w:tabs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本报告期</w:t>
            </w:r>
          </w:p>
        </w:tc>
        <w:tc>
          <w:tcPr>
            <w:tcW w:w="1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E522">
            <w:pPr>
              <w:tabs>
                <w:tab w:val="left" w:pos="3240"/>
              </w:tabs>
              <w:snapToGrid w:val="0"/>
              <w:jc w:val="center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上年同期</w:t>
            </w:r>
          </w:p>
        </w:tc>
      </w:tr>
      <w:tr w14:paraId="6303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ADE1F">
            <w:pPr>
              <w:tabs>
                <w:tab w:val="left" w:pos="3240"/>
              </w:tabs>
              <w:snapToGrid w:val="0"/>
              <w:jc w:val="left"/>
              <w:rPr>
                <w:rFonts w:hint="eastAsia" w:cs="宋体"/>
                <w:b/>
                <w:sz w:val="21"/>
                <w:szCs w:val="21"/>
              </w:rPr>
            </w:pPr>
            <w:bookmarkStart w:id="0" w:name="OLE_LINK37" w:colFirst="1" w:colLast="65"/>
            <w:bookmarkStart w:id="1" w:name="_Hlk107231422"/>
            <w:r>
              <w:rPr>
                <w:rFonts w:hint="eastAsia" w:cs="宋体"/>
                <w:b/>
                <w:sz w:val="21"/>
                <w:szCs w:val="21"/>
              </w:rPr>
              <w:t>归属于上市公司股东的净利润</w:t>
            </w:r>
          </w:p>
        </w:tc>
        <w:tc>
          <w:tcPr>
            <w:tcW w:w="22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4A2A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盈利</w:t>
            </w:r>
            <w:r>
              <w:rPr>
                <w:rFonts w:hint="eastAsia"/>
                <w:sz w:val="21"/>
                <w:szCs w:val="21"/>
                <w:highlight w:val="none"/>
              </w:rPr>
              <w:t>约：</w:t>
            </w:r>
            <w:bookmarkStart w:id="2" w:name="_GoBack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,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sz w:val="21"/>
                <w:szCs w:val="21"/>
                <w:highlight w:val="none"/>
              </w:rPr>
              <w:t>00</w:t>
            </w:r>
            <w:bookmarkEnd w:id="2"/>
            <w:r>
              <w:rPr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E4C1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亏损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</w:rPr>
              <w:t>4,103.23</w:t>
            </w:r>
            <w:r>
              <w:rPr>
                <w:sz w:val="21"/>
                <w:szCs w:val="21"/>
                <w:highlight w:val="none"/>
              </w:rPr>
              <w:t>万元</w:t>
            </w:r>
          </w:p>
        </w:tc>
      </w:tr>
      <w:bookmarkEnd w:id="0"/>
      <w:bookmarkEnd w:id="1"/>
      <w:tr w14:paraId="3405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8BEE">
            <w:pPr>
              <w:widowControl/>
              <w:snapToGrid w:val="0"/>
              <w:jc w:val="left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扣除非经常性损益后的净利润</w:t>
            </w:r>
          </w:p>
        </w:tc>
        <w:tc>
          <w:tcPr>
            <w:tcW w:w="22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A0483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盈利</w:t>
            </w:r>
            <w:r>
              <w:rPr>
                <w:rFonts w:hint="eastAsia"/>
                <w:sz w:val="21"/>
                <w:szCs w:val="21"/>
                <w:highlight w:val="none"/>
              </w:rPr>
              <w:t>约：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highlight w:val="none"/>
              </w:rPr>
              <w:t>,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sz w:val="21"/>
                <w:szCs w:val="21"/>
                <w:highlight w:val="none"/>
              </w:rPr>
              <w:t>00万元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85A2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亏损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highlight w:val="none"/>
              </w:rPr>
              <w:t>3,216.89</w:t>
            </w:r>
            <w:r>
              <w:rPr>
                <w:sz w:val="21"/>
                <w:szCs w:val="21"/>
                <w:highlight w:val="none"/>
              </w:rPr>
              <w:t>万元</w:t>
            </w:r>
          </w:p>
        </w:tc>
      </w:tr>
      <w:tr w14:paraId="3D8D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68B5">
            <w:pPr>
              <w:tabs>
                <w:tab w:val="left" w:pos="3240"/>
              </w:tabs>
              <w:snapToGrid w:val="0"/>
              <w:jc w:val="left"/>
              <w:rPr>
                <w:rFonts w:hint="eastAsia" w:cs="宋体"/>
                <w:b/>
                <w:sz w:val="21"/>
                <w:szCs w:val="21"/>
              </w:rPr>
            </w:pPr>
            <w:r>
              <w:rPr>
                <w:rFonts w:hint="eastAsia" w:cs="宋体"/>
                <w:b/>
                <w:sz w:val="21"/>
                <w:szCs w:val="21"/>
              </w:rPr>
              <w:t>基本每股收益</w:t>
            </w:r>
          </w:p>
        </w:tc>
        <w:tc>
          <w:tcPr>
            <w:tcW w:w="2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3A7C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盈利</w:t>
            </w:r>
            <w:r>
              <w:rPr>
                <w:rFonts w:hint="eastAsia"/>
                <w:sz w:val="21"/>
                <w:szCs w:val="21"/>
                <w:highlight w:val="none"/>
              </w:rPr>
              <w:t>约：0</w:t>
            </w:r>
            <w:r>
              <w:rPr>
                <w:sz w:val="21"/>
                <w:szCs w:val="21"/>
                <w:highlight w:val="none"/>
              </w:rPr>
              <w:t>.0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sz w:val="21"/>
                <w:szCs w:val="21"/>
                <w:highlight w:val="none"/>
              </w:rPr>
              <w:t>元/股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F8B14">
            <w:pPr>
              <w:tabs>
                <w:tab w:val="left" w:pos="3240"/>
              </w:tabs>
              <w:snapToGrid w:val="0"/>
              <w:jc w:val="left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亏损：0</w:t>
            </w:r>
            <w:r>
              <w:rPr>
                <w:sz w:val="21"/>
                <w:szCs w:val="21"/>
                <w:highlight w:val="none"/>
              </w:rPr>
              <w:t>.03元/股</w:t>
            </w:r>
          </w:p>
        </w:tc>
      </w:tr>
    </w:tbl>
    <w:p w14:paraId="43091095">
      <w:pPr>
        <w:tabs>
          <w:tab w:val="left" w:pos="3240"/>
        </w:tabs>
        <w:snapToGrid w:val="0"/>
        <w:spacing w:before="190" w:beforeLines="50"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二、与会计师事务所沟通情况</w:t>
      </w:r>
    </w:p>
    <w:p w14:paraId="123ACAB3">
      <w:pPr>
        <w:tabs>
          <w:tab w:val="left" w:pos="3240"/>
        </w:tabs>
        <w:snapToGrid w:val="0"/>
        <w:spacing w:line="360" w:lineRule="auto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本次业绩预告未经注册会计师审计。</w:t>
      </w:r>
    </w:p>
    <w:p w14:paraId="7BAD2676">
      <w:pPr>
        <w:tabs>
          <w:tab w:val="left" w:pos="3240"/>
        </w:tabs>
        <w:snapToGrid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三、业绩变动原因说明</w:t>
      </w:r>
    </w:p>
    <w:p w14:paraId="2A6789F4">
      <w:pPr>
        <w:tabs>
          <w:tab w:val="left" w:pos="3240"/>
        </w:tabs>
        <w:snapToGrid w:val="0"/>
        <w:spacing w:line="360" w:lineRule="auto"/>
        <w:ind w:firstLine="480" w:firstLineChars="20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本报告期项目交房结转收入较上期结转收入增加，本期利润相应增加。</w:t>
      </w:r>
    </w:p>
    <w:p w14:paraId="45DFFFA4">
      <w:pPr>
        <w:tabs>
          <w:tab w:val="left" w:pos="3240"/>
        </w:tabs>
        <w:snapToGrid w:val="0"/>
        <w:spacing w:line="360" w:lineRule="auto"/>
        <w:ind w:firstLine="480" w:firstLineChars="20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非经常性损益主要为本报告期投资基金公允价值变动收益约-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240</w:t>
      </w:r>
      <w:r>
        <w:rPr>
          <w:rFonts w:hint="eastAsia" w:cs="宋体"/>
          <w:color w:val="000000"/>
          <w:kern w:val="0"/>
          <w:sz w:val="24"/>
        </w:rPr>
        <w:t>万元。</w:t>
      </w:r>
    </w:p>
    <w:p w14:paraId="7E443AA8">
      <w:pPr>
        <w:tabs>
          <w:tab w:val="left" w:pos="3240"/>
        </w:tabs>
        <w:snapToGrid w:val="0"/>
        <w:spacing w:line="360" w:lineRule="auto"/>
        <w:ind w:firstLine="482" w:firstLineChars="200"/>
        <w:jc w:val="left"/>
        <w:rPr>
          <w:b/>
          <w:sz w:val="24"/>
        </w:rPr>
      </w:pPr>
      <w:r>
        <w:rPr>
          <w:rFonts w:hint="eastAsia"/>
          <w:b/>
          <w:sz w:val="24"/>
        </w:rPr>
        <w:t>四、其他相关说明</w:t>
      </w:r>
    </w:p>
    <w:p w14:paraId="657B011B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1、本次业绩预告是公司财务部门初步核算的结果，具体财务数据将在公司</w:t>
      </w:r>
      <w:r>
        <w:rPr>
          <w:rFonts w:hint="eastAsia" w:cs="宋体"/>
          <w:color w:val="000000"/>
          <w:kern w:val="0"/>
          <w:sz w:val="24"/>
          <w:lang w:eastAsia="zh-CN"/>
        </w:rPr>
        <w:t>2024年半年度</w:t>
      </w:r>
      <w:r>
        <w:rPr>
          <w:rFonts w:cs="宋体"/>
          <w:color w:val="000000"/>
          <w:kern w:val="0"/>
          <w:sz w:val="24"/>
        </w:rPr>
        <w:t>报告中予以详细披露</w:t>
      </w:r>
      <w:r>
        <w:rPr>
          <w:rFonts w:hint="eastAsia" w:cs="宋体"/>
          <w:color w:val="000000"/>
          <w:kern w:val="0"/>
          <w:sz w:val="24"/>
        </w:rPr>
        <w:t>。</w:t>
      </w:r>
    </w:p>
    <w:p w14:paraId="6BB42987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2、公司指定的信息披露媒体为《中国证券报》《证券时报》《上海证券报》《证券日报》及巨潮资讯网（</w:t>
      </w:r>
      <w:r>
        <w:rPr>
          <w:rFonts w:cs="宋体"/>
          <w:color w:val="000000"/>
          <w:kern w:val="0"/>
          <w:sz w:val="24"/>
        </w:rPr>
        <w:t>www.cninfo.com.cn），本公司将严格按照有关法律法规的规定和要求，及时做好信息披露工作，敬请投资者注意投资风险。</w:t>
      </w:r>
    </w:p>
    <w:p w14:paraId="200CFB6F">
      <w:pPr>
        <w:pStyle w:val="19"/>
        <w:snapToGrid w:val="0"/>
        <w:spacing w:before="190" w:beforeLines="50" w:line="360" w:lineRule="auto"/>
        <w:ind w:firstLine="480" w:firstLineChars="200"/>
        <w:jc w:val="both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特此公告。</w:t>
      </w:r>
    </w:p>
    <w:p w14:paraId="4B8A3015">
      <w:pPr>
        <w:pStyle w:val="19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/>
        </w:rPr>
      </w:pPr>
    </w:p>
    <w:p w14:paraId="110EA217">
      <w:pPr>
        <w:pStyle w:val="19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三湘印象股份有限公司董事会</w:t>
      </w:r>
    </w:p>
    <w:p w14:paraId="1946F964">
      <w:pPr>
        <w:pStyle w:val="19"/>
        <w:snapToGrid w:val="0"/>
        <w:spacing w:line="360" w:lineRule="auto"/>
        <w:ind w:firstLine="480" w:firstLineChars="200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2024年</w:t>
      </w:r>
      <w:r>
        <w:rPr>
          <w:rFonts w:hint="eastAsia" w:ascii="宋体" w:hAnsi="宋体" w:eastAsia="宋体"/>
        </w:rPr>
        <w:t>7月1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</w:t>
      </w: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57EE8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6611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F456C4"/>
    <w:rsid w:val="00000A38"/>
    <w:rsid w:val="000034C0"/>
    <w:rsid w:val="00007BEF"/>
    <w:rsid w:val="00014279"/>
    <w:rsid w:val="000254C3"/>
    <w:rsid w:val="00030CD3"/>
    <w:rsid w:val="000344A0"/>
    <w:rsid w:val="00040C45"/>
    <w:rsid w:val="0004278C"/>
    <w:rsid w:val="00042942"/>
    <w:rsid w:val="000479BE"/>
    <w:rsid w:val="000634FB"/>
    <w:rsid w:val="00066B01"/>
    <w:rsid w:val="00066BEB"/>
    <w:rsid w:val="000756D3"/>
    <w:rsid w:val="00077F5B"/>
    <w:rsid w:val="00081971"/>
    <w:rsid w:val="00082A84"/>
    <w:rsid w:val="00082C2E"/>
    <w:rsid w:val="00082EA5"/>
    <w:rsid w:val="0008386F"/>
    <w:rsid w:val="000842ED"/>
    <w:rsid w:val="00094BBF"/>
    <w:rsid w:val="0009769D"/>
    <w:rsid w:val="000A31B5"/>
    <w:rsid w:val="000A71EF"/>
    <w:rsid w:val="000B0914"/>
    <w:rsid w:val="000D2BC0"/>
    <w:rsid w:val="000D2F2C"/>
    <w:rsid w:val="000D5AB9"/>
    <w:rsid w:val="000D6D80"/>
    <w:rsid w:val="000E0493"/>
    <w:rsid w:val="000E3ED2"/>
    <w:rsid w:val="000E6042"/>
    <w:rsid w:val="00102ED5"/>
    <w:rsid w:val="00112032"/>
    <w:rsid w:val="0012293B"/>
    <w:rsid w:val="00124B11"/>
    <w:rsid w:val="00124C71"/>
    <w:rsid w:val="00130199"/>
    <w:rsid w:val="001405CB"/>
    <w:rsid w:val="00140ADB"/>
    <w:rsid w:val="00144451"/>
    <w:rsid w:val="00150A69"/>
    <w:rsid w:val="00153112"/>
    <w:rsid w:val="00153F56"/>
    <w:rsid w:val="0015432F"/>
    <w:rsid w:val="00154D66"/>
    <w:rsid w:val="00156D05"/>
    <w:rsid w:val="00162DF7"/>
    <w:rsid w:val="0016778E"/>
    <w:rsid w:val="0017307A"/>
    <w:rsid w:val="0018475C"/>
    <w:rsid w:val="00185D5D"/>
    <w:rsid w:val="00185E95"/>
    <w:rsid w:val="001874F8"/>
    <w:rsid w:val="001903CE"/>
    <w:rsid w:val="00190B9F"/>
    <w:rsid w:val="001945BA"/>
    <w:rsid w:val="00195F2B"/>
    <w:rsid w:val="001A0268"/>
    <w:rsid w:val="001A1948"/>
    <w:rsid w:val="001A1F96"/>
    <w:rsid w:val="001B1C96"/>
    <w:rsid w:val="001B1DC4"/>
    <w:rsid w:val="001B35A2"/>
    <w:rsid w:val="001B5996"/>
    <w:rsid w:val="001B5FC0"/>
    <w:rsid w:val="001B7603"/>
    <w:rsid w:val="001C1463"/>
    <w:rsid w:val="001C3F76"/>
    <w:rsid w:val="001C3FF1"/>
    <w:rsid w:val="001D0CA5"/>
    <w:rsid w:val="001D40D1"/>
    <w:rsid w:val="001D5B9B"/>
    <w:rsid w:val="001E2858"/>
    <w:rsid w:val="001E2CCB"/>
    <w:rsid w:val="001E5D86"/>
    <w:rsid w:val="001E7373"/>
    <w:rsid w:val="001F28CD"/>
    <w:rsid w:val="001F7CF5"/>
    <w:rsid w:val="001F7ED1"/>
    <w:rsid w:val="002038C0"/>
    <w:rsid w:val="00216B4D"/>
    <w:rsid w:val="00224FE8"/>
    <w:rsid w:val="00231CD5"/>
    <w:rsid w:val="00231F17"/>
    <w:rsid w:val="0023513B"/>
    <w:rsid w:val="00235CE5"/>
    <w:rsid w:val="00240336"/>
    <w:rsid w:val="00243F73"/>
    <w:rsid w:val="002522CA"/>
    <w:rsid w:val="0025392C"/>
    <w:rsid w:val="0026025E"/>
    <w:rsid w:val="0026494C"/>
    <w:rsid w:val="002727D4"/>
    <w:rsid w:val="00272E54"/>
    <w:rsid w:val="002739A0"/>
    <w:rsid w:val="00273D81"/>
    <w:rsid w:val="00276277"/>
    <w:rsid w:val="00276F8D"/>
    <w:rsid w:val="00277B9D"/>
    <w:rsid w:val="00281D7F"/>
    <w:rsid w:val="002847D3"/>
    <w:rsid w:val="00295D7F"/>
    <w:rsid w:val="002A12F2"/>
    <w:rsid w:val="002B344B"/>
    <w:rsid w:val="002B5AA3"/>
    <w:rsid w:val="002B6FEB"/>
    <w:rsid w:val="002C6154"/>
    <w:rsid w:val="002F078F"/>
    <w:rsid w:val="003000B6"/>
    <w:rsid w:val="003042FF"/>
    <w:rsid w:val="00305E0F"/>
    <w:rsid w:val="0030621D"/>
    <w:rsid w:val="00307BA3"/>
    <w:rsid w:val="003233A3"/>
    <w:rsid w:val="00323CCE"/>
    <w:rsid w:val="00326EA6"/>
    <w:rsid w:val="00333FEA"/>
    <w:rsid w:val="00340A43"/>
    <w:rsid w:val="0035317F"/>
    <w:rsid w:val="00360576"/>
    <w:rsid w:val="0036281D"/>
    <w:rsid w:val="00362A3B"/>
    <w:rsid w:val="0036392B"/>
    <w:rsid w:val="00363DF7"/>
    <w:rsid w:val="00371A97"/>
    <w:rsid w:val="0038114E"/>
    <w:rsid w:val="00385F25"/>
    <w:rsid w:val="003A00FA"/>
    <w:rsid w:val="003A5D10"/>
    <w:rsid w:val="003A7271"/>
    <w:rsid w:val="003B116A"/>
    <w:rsid w:val="003B1C6B"/>
    <w:rsid w:val="003B5957"/>
    <w:rsid w:val="003C1094"/>
    <w:rsid w:val="003C6F56"/>
    <w:rsid w:val="003D2F95"/>
    <w:rsid w:val="003D3AF9"/>
    <w:rsid w:val="003E0421"/>
    <w:rsid w:val="003E616E"/>
    <w:rsid w:val="003F3B2E"/>
    <w:rsid w:val="00413EE4"/>
    <w:rsid w:val="004319EA"/>
    <w:rsid w:val="00432393"/>
    <w:rsid w:val="00444397"/>
    <w:rsid w:val="00453B1C"/>
    <w:rsid w:val="00453B85"/>
    <w:rsid w:val="00455DD8"/>
    <w:rsid w:val="00456457"/>
    <w:rsid w:val="00456822"/>
    <w:rsid w:val="004570A1"/>
    <w:rsid w:val="0046224F"/>
    <w:rsid w:val="004629BC"/>
    <w:rsid w:val="00470BC0"/>
    <w:rsid w:val="00470EEE"/>
    <w:rsid w:val="00471264"/>
    <w:rsid w:val="00477122"/>
    <w:rsid w:val="00477360"/>
    <w:rsid w:val="00477786"/>
    <w:rsid w:val="004800A3"/>
    <w:rsid w:val="0048095D"/>
    <w:rsid w:val="00490ED2"/>
    <w:rsid w:val="0049416B"/>
    <w:rsid w:val="00495AA5"/>
    <w:rsid w:val="004A5817"/>
    <w:rsid w:val="004A7EDD"/>
    <w:rsid w:val="004B0CD9"/>
    <w:rsid w:val="004B4E56"/>
    <w:rsid w:val="004B706F"/>
    <w:rsid w:val="004C2069"/>
    <w:rsid w:val="004C647D"/>
    <w:rsid w:val="004D050E"/>
    <w:rsid w:val="004D2987"/>
    <w:rsid w:val="004D6765"/>
    <w:rsid w:val="004D751F"/>
    <w:rsid w:val="004D7758"/>
    <w:rsid w:val="004E4364"/>
    <w:rsid w:val="004E5186"/>
    <w:rsid w:val="004E597B"/>
    <w:rsid w:val="004F3853"/>
    <w:rsid w:val="00500D0D"/>
    <w:rsid w:val="005035BE"/>
    <w:rsid w:val="00507C32"/>
    <w:rsid w:val="00512FC1"/>
    <w:rsid w:val="00515A5F"/>
    <w:rsid w:val="00520727"/>
    <w:rsid w:val="00526015"/>
    <w:rsid w:val="00533A3E"/>
    <w:rsid w:val="00540686"/>
    <w:rsid w:val="0054320F"/>
    <w:rsid w:val="005475EB"/>
    <w:rsid w:val="00560384"/>
    <w:rsid w:val="005662C5"/>
    <w:rsid w:val="00573018"/>
    <w:rsid w:val="00574315"/>
    <w:rsid w:val="0058173F"/>
    <w:rsid w:val="00582415"/>
    <w:rsid w:val="00586E8E"/>
    <w:rsid w:val="00587262"/>
    <w:rsid w:val="00587B53"/>
    <w:rsid w:val="00587E6F"/>
    <w:rsid w:val="00590B05"/>
    <w:rsid w:val="00591BD1"/>
    <w:rsid w:val="00596767"/>
    <w:rsid w:val="005A048A"/>
    <w:rsid w:val="005B08AA"/>
    <w:rsid w:val="005B6B05"/>
    <w:rsid w:val="005C2C68"/>
    <w:rsid w:val="005C2DC4"/>
    <w:rsid w:val="005C4BC9"/>
    <w:rsid w:val="005C78E8"/>
    <w:rsid w:val="005D0113"/>
    <w:rsid w:val="005D0195"/>
    <w:rsid w:val="005D1A47"/>
    <w:rsid w:val="005D1F76"/>
    <w:rsid w:val="005D29A8"/>
    <w:rsid w:val="005D4F6A"/>
    <w:rsid w:val="005E088B"/>
    <w:rsid w:val="005E2028"/>
    <w:rsid w:val="005F2F2C"/>
    <w:rsid w:val="005F35A8"/>
    <w:rsid w:val="005F69A7"/>
    <w:rsid w:val="0060096A"/>
    <w:rsid w:val="006014E2"/>
    <w:rsid w:val="00602BC4"/>
    <w:rsid w:val="00611DC9"/>
    <w:rsid w:val="00612711"/>
    <w:rsid w:val="0061604C"/>
    <w:rsid w:val="00617A48"/>
    <w:rsid w:val="00617C7A"/>
    <w:rsid w:val="006206BF"/>
    <w:rsid w:val="00622A46"/>
    <w:rsid w:val="00624BA3"/>
    <w:rsid w:val="006265B2"/>
    <w:rsid w:val="006267AB"/>
    <w:rsid w:val="006271E4"/>
    <w:rsid w:val="006426F4"/>
    <w:rsid w:val="006516CC"/>
    <w:rsid w:val="0065299C"/>
    <w:rsid w:val="00652CE6"/>
    <w:rsid w:val="006543DA"/>
    <w:rsid w:val="0066441E"/>
    <w:rsid w:val="006649E5"/>
    <w:rsid w:val="00665A05"/>
    <w:rsid w:val="00671EB5"/>
    <w:rsid w:val="00675431"/>
    <w:rsid w:val="00677657"/>
    <w:rsid w:val="006829A2"/>
    <w:rsid w:val="006858B7"/>
    <w:rsid w:val="00695B18"/>
    <w:rsid w:val="006A1E53"/>
    <w:rsid w:val="006A4AE3"/>
    <w:rsid w:val="006B124F"/>
    <w:rsid w:val="006B2AF4"/>
    <w:rsid w:val="006C023B"/>
    <w:rsid w:val="006C3D81"/>
    <w:rsid w:val="006C5A9D"/>
    <w:rsid w:val="006D0BFB"/>
    <w:rsid w:val="006D0C23"/>
    <w:rsid w:val="006D1BD9"/>
    <w:rsid w:val="006E04D2"/>
    <w:rsid w:val="006E1EEF"/>
    <w:rsid w:val="006E2A42"/>
    <w:rsid w:val="006E4BF6"/>
    <w:rsid w:val="006F3F7C"/>
    <w:rsid w:val="00700424"/>
    <w:rsid w:val="007102E8"/>
    <w:rsid w:val="00715906"/>
    <w:rsid w:val="00722D28"/>
    <w:rsid w:val="00732A03"/>
    <w:rsid w:val="00732F44"/>
    <w:rsid w:val="00734B0A"/>
    <w:rsid w:val="0074002C"/>
    <w:rsid w:val="0074055F"/>
    <w:rsid w:val="00741293"/>
    <w:rsid w:val="00744689"/>
    <w:rsid w:val="007453AB"/>
    <w:rsid w:val="0075135A"/>
    <w:rsid w:val="00754FE9"/>
    <w:rsid w:val="0075757E"/>
    <w:rsid w:val="00761EDD"/>
    <w:rsid w:val="00762D69"/>
    <w:rsid w:val="007633D0"/>
    <w:rsid w:val="00765C4B"/>
    <w:rsid w:val="00767730"/>
    <w:rsid w:val="007702A4"/>
    <w:rsid w:val="00771B0C"/>
    <w:rsid w:val="007857FC"/>
    <w:rsid w:val="0078674C"/>
    <w:rsid w:val="00787747"/>
    <w:rsid w:val="0079201F"/>
    <w:rsid w:val="00792F4E"/>
    <w:rsid w:val="007930D9"/>
    <w:rsid w:val="00794959"/>
    <w:rsid w:val="007A15B2"/>
    <w:rsid w:val="007A35BD"/>
    <w:rsid w:val="007A5F14"/>
    <w:rsid w:val="007B5EB4"/>
    <w:rsid w:val="007B75A5"/>
    <w:rsid w:val="007C3CB0"/>
    <w:rsid w:val="007D1092"/>
    <w:rsid w:val="007D1D00"/>
    <w:rsid w:val="007D5B1C"/>
    <w:rsid w:val="007D5EC8"/>
    <w:rsid w:val="007E4AB0"/>
    <w:rsid w:val="007E7772"/>
    <w:rsid w:val="007F1C6E"/>
    <w:rsid w:val="007F3756"/>
    <w:rsid w:val="007F40BA"/>
    <w:rsid w:val="007F742A"/>
    <w:rsid w:val="00802A7B"/>
    <w:rsid w:val="008109EF"/>
    <w:rsid w:val="008229E8"/>
    <w:rsid w:val="008233D8"/>
    <w:rsid w:val="00825142"/>
    <w:rsid w:val="00830975"/>
    <w:rsid w:val="00834517"/>
    <w:rsid w:val="00835B3A"/>
    <w:rsid w:val="00836B9C"/>
    <w:rsid w:val="00837AA1"/>
    <w:rsid w:val="008413EE"/>
    <w:rsid w:val="00841C00"/>
    <w:rsid w:val="00841FAC"/>
    <w:rsid w:val="008449F3"/>
    <w:rsid w:val="0084716A"/>
    <w:rsid w:val="008551B7"/>
    <w:rsid w:val="008623E9"/>
    <w:rsid w:val="008653BF"/>
    <w:rsid w:val="00872022"/>
    <w:rsid w:val="008754DF"/>
    <w:rsid w:val="00881C5F"/>
    <w:rsid w:val="0089087B"/>
    <w:rsid w:val="00890EDB"/>
    <w:rsid w:val="008A2432"/>
    <w:rsid w:val="008A3666"/>
    <w:rsid w:val="008A54DC"/>
    <w:rsid w:val="008A7287"/>
    <w:rsid w:val="008B7C17"/>
    <w:rsid w:val="008B7ED3"/>
    <w:rsid w:val="008C0681"/>
    <w:rsid w:val="008C1E23"/>
    <w:rsid w:val="008C1FE3"/>
    <w:rsid w:val="008C32D5"/>
    <w:rsid w:val="008C3451"/>
    <w:rsid w:val="008C47CC"/>
    <w:rsid w:val="008C5C6A"/>
    <w:rsid w:val="008C60B1"/>
    <w:rsid w:val="008D5C3E"/>
    <w:rsid w:val="008E68E2"/>
    <w:rsid w:val="008E7DAB"/>
    <w:rsid w:val="008F2FAB"/>
    <w:rsid w:val="008F45D9"/>
    <w:rsid w:val="00903DC4"/>
    <w:rsid w:val="0090446F"/>
    <w:rsid w:val="009046B0"/>
    <w:rsid w:val="00906CE9"/>
    <w:rsid w:val="00906E60"/>
    <w:rsid w:val="009221B5"/>
    <w:rsid w:val="0092564F"/>
    <w:rsid w:val="00927067"/>
    <w:rsid w:val="00927CF4"/>
    <w:rsid w:val="009433AE"/>
    <w:rsid w:val="00943921"/>
    <w:rsid w:val="009439BE"/>
    <w:rsid w:val="00951F98"/>
    <w:rsid w:val="009600C6"/>
    <w:rsid w:val="00962C3E"/>
    <w:rsid w:val="00965E2C"/>
    <w:rsid w:val="0096799C"/>
    <w:rsid w:val="00970178"/>
    <w:rsid w:val="009706EF"/>
    <w:rsid w:val="00971084"/>
    <w:rsid w:val="0097626F"/>
    <w:rsid w:val="00984CAF"/>
    <w:rsid w:val="00985956"/>
    <w:rsid w:val="00986E93"/>
    <w:rsid w:val="009875E3"/>
    <w:rsid w:val="00990057"/>
    <w:rsid w:val="00991B47"/>
    <w:rsid w:val="00996E73"/>
    <w:rsid w:val="009A3469"/>
    <w:rsid w:val="009A460F"/>
    <w:rsid w:val="009A576D"/>
    <w:rsid w:val="009A6BC1"/>
    <w:rsid w:val="009A78F4"/>
    <w:rsid w:val="009B11BD"/>
    <w:rsid w:val="009C080D"/>
    <w:rsid w:val="009C334E"/>
    <w:rsid w:val="009D50B1"/>
    <w:rsid w:val="009E401B"/>
    <w:rsid w:val="009E4E76"/>
    <w:rsid w:val="009E4EA1"/>
    <w:rsid w:val="009F0E91"/>
    <w:rsid w:val="009F3A01"/>
    <w:rsid w:val="009F5497"/>
    <w:rsid w:val="009F7B8B"/>
    <w:rsid w:val="00A01532"/>
    <w:rsid w:val="00A01EED"/>
    <w:rsid w:val="00A03743"/>
    <w:rsid w:val="00A077BC"/>
    <w:rsid w:val="00A110E8"/>
    <w:rsid w:val="00A12F6F"/>
    <w:rsid w:val="00A15B88"/>
    <w:rsid w:val="00A17738"/>
    <w:rsid w:val="00A207CF"/>
    <w:rsid w:val="00A27593"/>
    <w:rsid w:val="00A31433"/>
    <w:rsid w:val="00A35FFB"/>
    <w:rsid w:val="00A36D4A"/>
    <w:rsid w:val="00A47807"/>
    <w:rsid w:val="00A502A3"/>
    <w:rsid w:val="00A52594"/>
    <w:rsid w:val="00A53435"/>
    <w:rsid w:val="00A6150C"/>
    <w:rsid w:val="00A61FB3"/>
    <w:rsid w:val="00A63230"/>
    <w:rsid w:val="00A7018F"/>
    <w:rsid w:val="00A711AF"/>
    <w:rsid w:val="00A901A9"/>
    <w:rsid w:val="00A94624"/>
    <w:rsid w:val="00AA1D8B"/>
    <w:rsid w:val="00AC0A6C"/>
    <w:rsid w:val="00AC33B1"/>
    <w:rsid w:val="00AC7801"/>
    <w:rsid w:val="00AD0AE0"/>
    <w:rsid w:val="00AD67CE"/>
    <w:rsid w:val="00AD7428"/>
    <w:rsid w:val="00AE2810"/>
    <w:rsid w:val="00AE737F"/>
    <w:rsid w:val="00AF2788"/>
    <w:rsid w:val="00AF56EE"/>
    <w:rsid w:val="00AF6D14"/>
    <w:rsid w:val="00B01192"/>
    <w:rsid w:val="00B015CC"/>
    <w:rsid w:val="00B03F86"/>
    <w:rsid w:val="00B0729A"/>
    <w:rsid w:val="00B0735C"/>
    <w:rsid w:val="00B13577"/>
    <w:rsid w:val="00B1595E"/>
    <w:rsid w:val="00B24110"/>
    <w:rsid w:val="00B36BB5"/>
    <w:rsid w:val="00B402B5"/>
    <w:rsid w:val="00B4440A"/>
    <w:rsid w:val="00B55CDD"/>
    <w:rsid w:val="00B57FCD"/>
    <w:rsid w:val="00B6292E"/>
    <w:rsid w:val="00B64357"/>
    <w:rsid w:val="00B65C43"/>
    <w:rsid w:val="00B65E26"/>
    <w:rsid w:val="00B67832"/>
    <w:rsid w:val="00B76E0A"/>
    <w:rsid w:val="00B83FDD"/>
    <w:rsid w:val="00B85855"/>
    <w:rsid w:val="00B905F1"/>
    <w:rsid w:val="00B94CA2"/>
    <w:rsid w:val="00B967EE"/>
    <w:rsid w:val="00BA19D3"/>
    <w:rsid w:val="00BA1B87"/>
    <w:rsid w:val="00BA237D"/>
    <w:rsid w:val="00BA2504"/>
    <w:rsid w:val="00BA2B72"/>
    <w:rsid w:val="00BB35F1"/>
    <w:rsid w:val="00BB5E3B"/>
    <w:rsid w:val="00BC3BF9"/>
    <w:rsid w:val="00BC4EB1"/>
    <w:rsid w:val="00BC4F09"/>
    <w:rsid w:val="00BC6722"/>
    <w:rsid w:val="00BD08C4"/>
    <w:rsid w:val="00BD6C3C"/>
    <w:rsid w:val="00BF737F"/>
    <w:rsid w:val="00C02432"/>
    <w:rsid w:val="00C227D1"/>
    <w:rsid w:val="00C2726A"/>
    <w:rsid w:val="00C3050D"/>
    <w:rsid w:val="00C33698"/>
    <w:rsid w:val="00C354B4"/>
    <w:rsid w:val="00C41243"/>
    <w:rsid w:val="00C500A8"/>
    <w:rsid w:val="00C52837"/>
    <w:rsid w:val="00C5300A"/>
    <w:rsid w:val="00C53B8C"/>
    <w:rsid w:val="00C5558B"/>
    <w:rsid w:val="00C5719B"/>
    <w:rsid w:val="00C6144C"/>
    <w:rsid w:val="00C64E2E"/>
    <w:rsid w:val="00C759E0"/>
    <w:rsid w:val="00C7779B"/>
    <w:rsid w:val="00C77A5A"/>
    <w:rsid w:val="00C8216C"/>
    <w:rsid w:val="00C82CE6"/>
    <w:rsid w:val="00C8337B"/>
    <w:rsid w:val="00C8342D"/>
    <w:rsid w:val="00C917A9"/>
    <w:rsid w:val="00C92E3B"/>
    <w:rsid w:val="00C951EB"/>
    <w:rsid w:val="00C968C6"/>
    <w:rsid w:val="00CA0D43"/>
    <w:rsid w:val="00CA6FE6"/>
    <w:rsid w:val="00CB3137"/>
    <w:rsid w:val="00CB32C6"/>
    <w:rsid w:val="00CB5DDC"/>
    <w:rsid w:val="00CD1A0D"/>
    <w:rsid w:val="00CD20F5"/>
    <w:rsid w:val="00CD2F85"/>
    <w:rsid w:val="00CD3DB1"/>
    <w:rsid w:val="00CD4B8E"/>
    <w:rsid w:val="00CD6B48"/>
    <w:rsid w:val="00CE1B7A"/>
    <w:rsid w:val="00CE2736"/>
    <w:rsid w:val="00CE2F65"/>
    <w:rsid w:val="00CE63D1"/>
    <w:rsid w:val="00CF3C7C"/>
    <w:rsid w:val="00D030C7"/>
    <w:rsid w:val="00D04027"/>
    <w:rsid w:val="00D146C5"/>
    <w:rsid w:val="00D15B90"/>
    <w:rsid w:val="00D160C9"/>
    <w:rsid w:val="00D20B81"/>
    <w:rsid w:val="00D24183"/>
    <w:rsid w:val="00D27FB4"/>
    <w:rsid w:val="00D32D06"/>
    <w:rsid w:val="00D339B9"/>
    <w:rsid w:val="00D3540E"/>
    <w:rsid w:val="00D3754E"/>
    <w:rsid w:val="00D412C1"/>
    <w:rsid w:val="00D417B4"/>
    <w:rsid w:val="00D50C6C"/>
    <w:rsid w:val="00D60DEE"/>
    <w:rsid w:val="00D610D0"/>
    <w:rsid w:val="00D67BD3"/>
    <w:rsid w:val="00D67D30"/>
    <w:rsid w:val="00D70E3E"/>
    <w:rsid w:val="00D7403E"/>
    <w:rsid w:val="00D768CF"/>
    <w:rsid w:val="00D86392"/>
    <w:rsid w:val="00D91E2A"/>
    <w:rsid w:val="00D929CF"/>
    <w:rsid w:val="00D95C58"/>
    <w:rsid w:val="00DA11FC"/>
    <w:rsid w:val="00DA192F"/>
    <w:rsid w:val="00DA636B"/>
    <w:rsid w:val="00DB210D"/>
    <w:rsid w:val="00DC0C28"/>
    <w:rsid w:val="00DC41B7"/>
    <w:rsid w:val="00DC7E86"/>
    <w:rsid w:val="00DD39EB"/>
    <w:rsid w:val="00DD3D89"/>
    <w:rsid w:val="00DE024C"/>
    <w:rsid w:val="00DE084A"/>
    <w:rsid w:val="00DE440D"/>
    <w:rsid w:val="00DE5EEE"/>
    <w:rsid w:val="00DE6753"/>
    <w:rsid w:val="00DF29F9"/>
    <w:rsid w:val="00DF2A6C"/>
    <w:rsid w:val="00DF5001"/>
    <w:rsid w:val="00DF79AA"/>
    <w:rsid w:val="00DF7BCA"/>
    <w:rsid w:val="00DF7CC4"/>
    <w:rsid w:val="00E00EA7"/>
    <w:rsid w:val="00E03D44"/>
    <w:rsid w:val="00E05F42"/>
    <w:rsid w:val="00E07945"/>
    <w:rsid w:val="00E10A75"/>
    <w:rsid w:val="00E119D3"/>
    <w:rsid w:val="00E12B21"/>
    <w:rsid w:val="00E165FC"/>
    <w:rsid w:val="00E31AD6"/>
    <w:rsid w:val="00E342CA"/>
    <w:rsid w:val="00E41D64"/>
    <w:rsid w:val="00E50A83"/>
    <w:rsid w:val="00E52192"/>
    <w:rsid w:val="00E52274"/>
    <w:rsid w:val="00E52615"/>
    <w:rsid w:val="00E56F17"/>
    <w:rsid w:val="00E61F04"/>
    <w:rsid w:val="00E63DA2"/>
    <w:rsid w:val="00E66203"/>
    <w:rsid w:val="00E663CF"/>
    <w:rsid w:val="00E731DA"/>
    <w:rsid w:val="00E74162"/>
    <w:rsid w:val="00E8142A"/>
    <w:rsid w:val="00E9273A"/>
    <w:rsid w:val="00E92FE3"/>
    <w:rsid w:val="00E93921"/>
    <w:rsid w:val="00EA1E27"/>
    <w:rsid w:val="00EB3BA0"/>
    <w:rsid w:val="00ED5776"/>
    <w:rsid w:val="00ED59C2"/>
    <w:rsid w:val="00EE239A"/>
    <w:rsid w:val="00EE6E0A"/>
    <w:rsid w:val="00EE7883"/>
    <w:rsid w:val="00EF07E1"/>
    <w:rsid w:val="00EF12A5"/>
    <w:rsid w:val="00EF316B"/>
    <w:rsid w:val="00EF4E3B"/>
    <w:rsid w:val="00EF677A"/>
    <w:rsid w:val="00EF67E9"/>
    <w:rsid w:val="00EF6B34"/>
    <w:rsid w:val="00EF6EFE"/>
    <w:rsid w:val="00EF75A5"/>
    <w:rsid w:val="00F02ED7"/>
    <w:rsid w:val="00F14757"/>
    <w:rsid w:val="00F169E8"/>
    <w:rsid w:val="00F20CA9"/>
    <w:rsid w:val="00F2339A"/>
    <w:rsid w:val="00F24BCC"/>
    <w:rsid w:val="00F3158F"/>
    <w:rsid w:val="00F33F39"/>
    <w:rsid w:val="00F358E0"/>
    <w:rsid w:val="00F361EC"/>
    <w:rsid w:val="00F44225"/>
    <w:rsid w:val="00F456C4"/>
    <w:rsid w:val="00F45B16"/>
    <w:rsid w:val="00F460A0"/>
    <w:rsid w:val="00F47023"/>
    <w:rsid w:val="00F51EA0"/>
    <w:rsid w:val="00F52A0F"/>
    <w:rsid w:val="00F548C5"/>
    <w:rsid w:val="00F57762"/>
    <w:rsid w:val="00F57C78"/>
    <w:rsid w:val="00F64E23"/>
    <w:rsid w:val="00F66F26"/>
    <w:rsid w:val="00F67A28"/>
    <w:rsid w:val="00F7071A"/>
    <w:rsid w:val="00F71B65"/>
    <w:rsid w:val="00F75AC5"/>
    <w:rsid w:val="00F76CAC"/>
    <w:rsid w:val="00FA2E1F"/>
    <w:rsid w:val="00FA748B"/>
    <w:rsid w:val="00FA7D5D"/>
    <w:rsid w:val="00FB39A9"/>
    <w:rsid w:val="00FB7300"/>
    <w:rsid w:val="00FC1719"/>
    <w:rsid w:val="00FC218A"/>
    <w:rsid w:val="00FC3901"/>
    <w:rsid w:val="00FC5F79"/>
    <w:rsid w:val="00FD14DC"/>
    <w:rsid w:val="00FD1590"/>
    <w:rsid w:val="00FD219B"/>
    <w:rsid w:val="00FD7226"/>
    <w:rsid w:val="00FE45E5"/>
    <w:rsid w:val="00FE5947"/>
    <w:rsid w:val="00FE5AAB"/>
    <w:rsid w:val="00FE5B4B"/>
    <w:rsid w:val="052C0C9F"/>
    <w:rsid w:val="0FCC1962"/>
    <w:rsid w:val="15B76329"/>
    <w:rsid w:val="19776CD7"/>
    <w:rsid w:val="1A323F92"/>
    <w:rsid w:val="1A401D91"/>
    <w:rsid w:val="25992285"/>
    <w:rsid w:val="267B36F3"/>
    <w:rsid w:val="27BC1FD7"/>
    <w:rsid w:val="28E3029C"/>
    <w:rsid w:val="36A976A6"/>
    <w:rsid w:val="39534219"/>
    <w:rsid w:val="3E6C438A"/>
    <w:rsid w:val="3FA439EE"/>
    <w:rsid w:val="40D6157A"/>
    <w:rsid w:val="410456EB"/>
    <w:rsid w:val="45516660"/>
    <w:rsid w:val="46873754"/>
    <w:rsid w:val="48407CF3"/>
    <w:rsid w:val="4AD545F3"/>
    <w:rsid w:val="4CA7782D"/>
    <w:rsid w:val="4E5243FD"/>
    <w:rsid w:val="55384597"/>
    <w:rsid w:val="55BB6F76"/>
    <w:rsid w:val="55E258B5"/>
    <w:rsid w:val="5A3F36D0"/>
    <w:rsid w:val="66EC23CF"/>
    <w:rsid w:val="6D617FA8"/>
    <w:rsid w:val="710F044A"/>
    <w:rsid w:val="71B4221E"/>
    <w:rsid w:val="768E4257"/>
    <w:rsid w:val="76AF3B36"/>
    <w:rsid w:val="7A437CFE"/>
    <w:rsid w:val="7F217A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99"/>
    <w:pPr>
      <w:jc w:val="left"/>
    </w:pPr>
    <w:rPr>
      <w:rFonts w:ascii="Times New Roman" w:hAnsi="Times New Roman"/>
      <w:sz w:val="21"/>
    </w:rPr>
  </w:style>
  <w:style w:type="paragraph" w:styleId="4">
    <w:name w:val="Date"/>
    <w:basedOn w:val="1"/>
    <w:next w:val="1"/>
    <w:semiHidden/>
    <w:uiPriority w:val="0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iPriority w:val="0"/>
    <w:rPr>
      <w:rFonts w:ascii="宋体" w:hAnsi="宋体"/>
      <w:b/>
      <w:bCs/>
      <w:sz w:val="28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uiPriority w:val="99"/>
    <w:rPr>
      <w:sz w:val="21"/>
      <w:szCs w:val="21"/>
    </w:rPr>
  </w:style>
  <w:style w:type="character" w:customStyle="1" w:styleId="13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批注文字 字符"/>
    <w:link w:val="3"/>
    <w:qFormat/>
    <w:uiPriority w:val="99"/>
    <w:rPr>
      <w:kern w:val="2"/>
      <w:sz w:val="21"/>
      <w:szCs w:val="24"/>
    </w:rPr>
  </w:style>
  <w:style w:type="character" w:customStyle="1" w:styleId="15">
    <w:name w:val="批注框文本 字符"/>
    <w:link w:val="5"/>
    <w:uiPriority w:val="0"/>
    <w:rPr>
      <w:rFonts w:ascii="宋体" w:hAnsi="宋体"/>
      <w:kern w:val="2"/>
      <w:sz w:val="18"/>
      <w:szCs w:val="18"/>
    </w:rPr>
  </w:style>
  <w:style w:type="character" w:customStyle="1" w:styleId="16">
    <w:name w:val="页脚 字符"/>
    <w:link w:val="6"/>
    <w:uiPriority w:val="99"/>
    <w:rPr>
      <w:rFonts w:ascii="宋体" w:hAnsi="宋体"/>
      <w:kern w:val="2"/>
      <w:sz w:val="18"/>
      <w:szCs w:val="18"/>
    </w:rPr>
  </w:style>
  <w:style w:type="character" w:customStyle="1" w:styleId="17">
    <w:name w:val="页眉 字符"/>
    <w:link w:val="7"/>
    <w:uiPriority w:val="0"/>
    <w:rPr>
      <w:rFonts w:ascii="宋体" w:hAnsi="宋体"/>
      <w:kern w:val="2"/>
      <w:sz w:val="18"/>
      <w:szCs w:val="18"/>
    </w:rPr>
  </w:style>
  <w:style w:type="character" w:customStyle="1" w:styleId="18">
    <w:name w:val="批注主题 字符"/>
    <w:link w:val="8"/>
    <w:uiPriority w:val="0"/>
    <w:rPr>
      <w:rFonts w:ascii="宋体" w:hAnsi="宋体"/>
      <w:b/>
      <w:bCs/>
      <w:kern w:val="2"/>
      <w:sz w:val="28"/>
      <w:szCs w:val="24"/>
    </w:rPr>
  </w:style>
  <w:style w:type="paragraph" w:customStyle="1" w:styleId="19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qi</Company>
  <Pages>1</Pages>
  <Words>490</Words>
  <Characters>566</Characters>
  <Lines>5</Lines>
  <Paragraphs>1</Paragraphs>
  <TotalTime>5</TotalTime>
  <ScaleCrop>false</ScaleCrop>
  <LinksUpToDate>false</LinksUpToDate>
  <CharactersWithSpaces>584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2021-07-14T07:38:00Z</dcterms:created>
  <dc:creator>qi</dc:creator>
  <cp:lastModifiedBy>Sarah</cp:lastModifiedBy>
  <cp:lastPrinted>2021-07-13T02:20:00Z</cp:lastPrinted>
  <dcterms:modified xsi:type="dcterms:W3CDTF">2024-07-12T07:35:37Z</dcterms:modified>
  <dc:title>股票简称：三湘股份   股票代码：000863   公告编号：2012-068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B166348708594047ABB528F1173B7844_13</vt:lpwstr>
  </property>
</Properties>
</file>