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 xml:space="preserve">代码：000863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简称：三湘</w:t>
      </w:r>
      <w:r>
        <w:rPr>
          <w:rFonts w:hint="eastAsia"/>
          <w:color w:val="000000" w:themeColor="text1"/>
          <w:sz w:val="24"/>
          <w14:textFill>
            <w14:solidFill>
              <w14:schemeClr w14:val="tx1"/>
            </w14:solidFill>
          </w14:textFill>
        </w:rPr>
        <w:t>印象</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公告编号：</w:t>
      </w:r>
      <w:r>
        <w:rPr>
          <w:rFonts w:hint="eastAsia"/>
          <w:color w:val="000000" w:themeColor="text1"/>
          <w:sz w:val="24"/>
          <w:lang w:eastAsia="zh-CN"/>
          <w14:textFill>
            <w14:solidFill>
              <w14:schemeClr w14:val="tx1"/>
            </w14:solidFill>
          </w14:textFill>
        </w:rPr>
        <w:t>2023-0</w:t>
      </w:r>
      <w:r>
        <w:rPr>
          <w:rFonts w:hint="eastAsia"/>
          <w:color w:val="000000" w:themeColor="text1"/>
          <w:sz w:val="24"/>
          <w:lang w:val="en-US" w:eastAsia="zh-CN"/>
          <w14:textFill>
            <w14:solidFill>
              <w14:schemeClr w14:val="tx1"/>
            </w14:solidFill>
          </w14:textFill>
        </w:rPr>
        <w:t>55</w:t>
      </w:r>
    </w:p>
    <w:p>
      <w:pPr>
        <w:spacing w:line="360" w:lineRule="auto"/>
        <w:jc w:val="center"/>
        <w:rPr>
          <w:b/>
          <w:bCs/>
          <w:color w:val="FF0000"/>
          <w:sz w:val="32"/>
          <w:szCs w:val="30"/>
        </w:rPr>
      </w:pPr>
      <w:r>
        <w:rPr>
          <w:rFonts w:hint="eastAsia"/>
          <w:b/>
          <w:bCs/>
          <w:color w:val="FF0000"/>
          <w:sz w:val="32"/>
          <w:szCs w:val="30"/>
        </w:rPr>
        <w:t>三湘印象股份有限公司</w:t>
      </w:r>
    </w:p>
    <w:p>
      <w:pPr>
        <w:spacing w:line="360" w:lineRule="auto"/>
        <w:jc w:val="center"/>
        <w:rPr>
          <w:b/>
          <w:color w:val="FF0000"/>
          <w:sz w:val="32"/>
          <w:szCs w:val="30"/>
        </w:rPr>
      </w:pPr>
      <w:r>
        <w:rPr>
          <w:rFonts w:hint="eastAsia"/>
          <w:b/>
          <w:bCs/>
          <w:color w:val="FF0000"/>
          <w:sz w:val="32"/>
          <w:szCs w:val="30"/>
          <w:lang w:eastAsia="zh-CN"/>
        </w:rPr>
        <w:t>2023年第二次临时股东大会</w:t>
      </w:r>
      <w:r>
        <w:rPr>
          <w:rFonts w:hint="eastAsia"/>
          <w:b/>
          <w:bCs/>
          <w:color w:val="FF0000"/>
          <w:sz w:val="32"/>
          <w:szCs w:val="30"/>
        </w:rPr>
        <w:t>决议公告</w:t>
      </w:r>
    </w:p>
    <w:p>
      <w:pPr>
        <w:pBdr>
          <w:top w:val="single" w:color="auto" w:sz="4" w:space="1"/>
          <w:left w:val="single" w:color="auto" w:sz="4" w:space="4"/>
          <w:bottom w:val="single" w:color="auto" w:sz="4" w:space="1"/>
          <w:right w:val="single" w:color="auto" w:sz="4" w:space="4"/>
        </w:pBdr>
        <w:autoSpaceDE w:val="0"/>
        <w:autoSpaceDN w:val="0"/>
        <w:adjustRightInd w:val="0"/>
        <w:ind w:firstLine="480" w:firstLineChars="200"/>
        <w:rPr>
          <w:color w:val="000000" w:themeColor="text1"/>
          <w:sz w:val="24"/>
          <w14:textFill>
            <w14:solidFill>
              <w14:schemeClr w14:val="tx1"/>
            </w14:solidFill>
          </w14:textFill>
        </w:rPr>
      </w:pPr>
      <w:bookmarkStart w:id="0" w:name="OLE_LINK1"/>
      <w:r>
        <w:rPr>
          <w:color w:val="000000" w:themeColor="text1"/>
          <w:kern w:val="0"/>
          <w:sz w:val="24"/>
          <w14:textFill>
            <w14:solidFill>
              <w14:schemeClr w14:val="tx1"/>
            </w14:solidFill>
          </w14:textFill>
        </w:rPr>
        <w:t>本公司及董事会全体成员保证信息披露内容的真实、准确和完整，没有虚假记载、误导性陈述或重大遗漏。</w:t>
      </w:r>
    </w:p>
    <w:bookmarkEnd w:id="0"/>
    <w:p>
      <w:pPr>
        <w:tabs>
          <w:tab w:val="left" w:pos="1620"/>
        </w:tabs>
        <w:autoSpaceDE w:val="0"/>
        <w:autoSpaceDN w:val="0"/>
        <w:adjustRightInd w:val="0"/>
        <w:snapToGrid w:val="0"/>
        <w:spacing w:before="381" w:beforeLines="100" w:line="360" w:lineRule="auto"/>
        <w:ind w:firstLine="482" w:firstLineChars="200"/>
        <w:rPr>
          <w:b/>
          <w:color w:val="000000"/>
          <w:sz w:val="24"/>
        </w:rPr>
      </w:pPr>
      <w:r>
        <w:rPr>
          <w:rFonts w:hint="eastAsia"/>
          <w:b/>
          <w:color w:val="000000"/>
          <w:sz w:val="24"/>
        </w:rPr>
        <w:t>特别提示：</w:t>
      </w:r>
    </w:p>
    <w:p>
      <w:pPr>
        <w:tabs>
          <w:tab w:val="left" w:pos="1620"/>
        </w:tabs>
        <w:autoSpaceDE w:val="0"/>
        <w:autoSpaceDN w:val="0"/>
        <w:adjustRightInd w:val="0"/>
        <w:snapToGrid w:val="0"/>
        <w:spacing w:line="360" w:lineRule="auto"/>
        <w:ind w:firstLine="480" w:firstLineChars="200"/>
        <w:rPr>
          <w:color w:val="000000"/>
          <w:sz w:val="24"/>
        </w:rPr>
      </w:pPr>
      <w:r>
        <w:rPr>
          <w:color w:val="000000"/>
          <w:sz w:val="24"/>
        </w:rPr>
        <w:t>1、本次股东大会</w:t>
      </w:r>
      <w:r>
        <w:rPr>
          <w:rFonts w:hint="eastAsia"/>
          <w:color w:val="000000"/>
          <w:sz w:val="24"/>
        </w:rPr>
        <w:t>不存在</w:t>
      </w:r>
      <w:r>
        <w:rPr>
          <w:color w:val="000000"/>
          <w:sz w:val="24"/>
        </w:rPr>
        <w:t>否决提案的</w:t>
      </w:r>
      <w:r>
        <w:rPr>
          <w:rFonts w:hint="eastAsia"/>
          <w:color w:val="000000"/>
          <w:sz w:val="24"/>
        </w:rPr>
        <w:t>情形；</w:t>
      </w:r>
    </w:p>
    <w:p>
      <w:pPr>
        <w:adjustRightInd w:val="0"/>
        <w:snapToGrid w:val="0"/>
        <w:spacing w:line="360" w:lineRule="auto"/>
        <w:ind w:firstLine="480" w:firstLineChars="200"/>
        <w:rPr>
          <w:color w:val="000000"/>
          <w:sz w:val="24"/>
        </w:rPr>
      </w:pPr>
      <w:r>
        <w:rPr>
          <w:color w:val="000000"/>
          <w:sz w:val="24"/>
        </w:rPr>
        <w:t>2、本次股东大会</w:t>
      </w:r>
      <w:r>
        <w:rPr>
          <w:rFonts w:hint="eastAsia"/>
          <w:color w:val="000000"/>
          <w:sz w:val="24"/>
        </w:rPr>
        <w:t>不</w:t>
      </w:r>
      <w:r>
        <w:rPr>
          <w:color w:val="000000"/>
          <w:sz w:val="24"/>
        </w:rPr>
        <w:t>涉及变更</w:t>
      </w:r>
      <w:r>
        <w:rPr>
          <w:rFonts w:hint="eastAsia"/>
          <w:color w:val="000000"/>
          <w:sz w:val="24"/>
        </w:rPr>
        <w:t>以往</w:t>
      </w:r>
      <w:r>
        <w:rPr>
          <w:color w:val="000000"/>
          <w:sz w:val="24"/>
        </w:rPr>
        <w:t>股东大会</w:t>
      </w:r>
      <w:r>
        <w:rPr>
          <w:rFonts w:hint="eastAsia"/>
          <w:color w:val="000000"/>
          <w:sz w:val="24"/>
        </w:rPr>
        <w:t>已通过的</w:t>
      </w:r>
      <w:r>
        <w:rPr>
          <w:color w:val="000000"/>
          <w:sz w:val="24"/>
        </w:rPr>
        <w:t>决议</w:t>
      </w:r>
      <w:r>
        <w:rPr>
          <w:rFonts w:hint="eastAsia"/>
          <w:color w:val="000000"/>
          <w:sz w:val="24"/>
        </w:rPr>
        <w:t>。</w:t>
      </w:r>
    </w:p>
    <w:p>
      <w:pPr>
        <w:pStyle w:val="21"/>
        <w:adjustRightInd/>
        <w:snapToGrid w:val="0"/>
        <w:spacing w:line="360" w:lineRule="auto"/>
        <w:ind w:firstLine="482" w:firstLineChars="200"/>
        <w:rPr>
          <w:rFonts w:hAnsi="宋体"/>
          <w:b/>
        </w:rPr>
      </w:pPr>
    </w:p>
    <w:p>
      <w:pPr>
        <w:pStyle w:val="21"/>
        <w:snapToGrid w:val="0"/>
        <w:spacing w:line="360" w:lineRule="auto"/>
        <w:ind w:firstLine="482" w:firstLineChars="200"/>
        <w:jc w:val="both"/>
        <w:rPr>
          <w:rFonts w:hAnsi="宋体"/>
          <w:b/>
        </w:rPr>
      </w:pPr>
      <w:r>
        <w:rPr>
          <w:rFonts w:hint="eastAsia" w:hAnsi="宋体"/>
          <w:b/>
        </w:rPr>
        <w:t>一、会议召开和出席情况</w:t>
      </w:r>
    </w:p>
    <w:p>
      <w:pPr>
        <w:pStyle w:val="21"/>
        <w:snapToGrid w:val="0"/>
        <w:spacing w:line="360" w:lineRule="auto"/>
        <w:ind w:firstLine="566" w:firstLineChars="235"/>
        <w:jc w:val="both"/>
        <w:rPr>
          <w:rFonts w:hAnsi="宋体"/>
          <w:b/>
        </w:rPr>
      </w:pPr>
      <w:r>
        <w:rPr>
          <w:rFonts w:hint="eastAsia" w:hAnsi="宋体"/>
          <w:b/>
        </w:rPr>
        <w:t>（一）会议召开情况</w:t>
      </w:r>
    </w:p>
    <w:p>
      <w:pPr>
        <w:pStyle w:val="21"/>
        <w:snapToGrid w:val="0"/>
        <w:spacing w:line="360" w:lineRule="auto"/>
        <w:ind w:firstLine="564" w:firstLineChars="235"/>
        <w:jc w:val="both"/>
        <w:rPr>
          <w:rFonts w:hAnsi="宋体"/>
        </w:rPr>
      </w:pPr>
      <w:r>
        <w:rPr>
          <w:rFonts w:hint="eastAsia" w:hAnsi="宋体"/>
        </w:rPr>
        <w:t>1、召开方式：本次股东大会采用现场表决与网络投票相结合的方式召开；</w:t>
      </w:r>
    </w:p>
    <w:p>
      <w:pPr>
        <w:pStyle w:val="21"/>
        <w:snapToGrid w:val="0"/>
        <w:spacing w:line="360" w:lineRule="auto"/>
        <w:ind w:firstLine="564" w:firstLineChars="235"/>
        <w:jc w:val="both"/>
        <w:rPr>
          <w:rFonts w:hAnsi="宋体"/>
        </w:rPr>
      </w:pPr>
      <w:r>
        <w:rPr>
          <w:rFonts w:hint="eastAsia" w:hAnsi="宋体"/>
        </w:rPr>
        <w:t>2、会议召开时间：</w:t>
      </w:r>
    </w:p>
    <w:p>
      <w:pPr>
        <w:pStyle w:val="21"/>
        <w:snapToGrid w:val="0"/>
        <w:spacing w:line="360" w:lineRule="auto"/>
        <w:ind w:firstLine="480" w:firstLineChars="200"/>
        <w:jc w:val="both"/>
        <w:rPr>
          <w:rFonts w:hAnsi="宋体"/>
        </w:rPr>
      </w:pPr>
      <w:r>
        <w:rPr>
          <w:rFonts w:hint="eastAsia" w:hAnsi="宋体"/>
        </w:rPr>
        <w:t>（1）会议</w:t>
      </w:r>
      <w:r>
        <w:rPr>
          <w:rFonts w:hAnsi="宋体"/>
        </w:rPr>
        <w:t>时间</w:t>
      </w:r>
      <w:r>
        <w:rPr>
          <w:rFonts w:hint="eastAsia" w:hAnsi="宋体"/>
        </w:rPr>
        <w:t>：</w:t>
      </w:r>
      <w:r>
        <w:rPr>
          <w:rFonts w:hAnsi="宋体"/>
        </w:rPr>
        <w:t xml:space="preserve"> </w:t>
      </w:r>
      <w:r>
        <w:rPr>
          <w:rFonts w:hint="eastAsia" w:hAnsi="宋体"/>
          <w:lang w:eastAsia="zh-CN"/>
        </w:rPr>
        <w:t>2023年9月15日</w:t>
      </w:r>
      <w:r>
        <w:rPr>
          <w:rFonts w:hAnsi="宋体"/>
        </w:rPr>
        <w:t>14:00；</w:t>
      </w:r>
    </w:p>
    <w:p>
      <w:pPr>
        <w:pStyle w:val="21"/>
        <w:snapToGrid w:val="0"/>
        <w:spacing w:line="360" w:lineRule="auto"/>
        <w:ind w:firstLine="480"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（2）网络投票时间：通过深圳证券交易所交易系统进行网络投票的时间为</w:t>
      </w:r>
      <w:r>
        <w:rPr>
          <w:rFonts w:hint="eastAsia" w:hAnsi="宋体"/>
          <w:color w:val="000000" w:themeColor="text1"/>
          <w:lang w:eastAsia="zh-CN"/>
          <w14:textFill>
            <w14:solidFill>
              <w14:schemeClr w14:val="tx1"/>
            </w14:solidFill>
          </w14:textFill>
        </w:rPr>
        <w:t>2023年9月15日</w:t>
      </w:r>
      <w:r>
        <w:rPr>
          <w:rFonts w:hAnsi="宋体"/>
          <w:color w:val="000000" w:themeColor="text1"/>
          <w14:textFill>
            <w14:solidFill>
              <w14:schemeClr w14:val="tx1"/>
            </w14:solidFill>
          </w14:textFill>
        </w:rPr>
        <w:t>9:15—9:25,9:30—11:30和13:00—15:00；通过互联网投票系统投票时间为</w:t>
      </w:r>
      <w:r>
        <w:rPr>
          <w:rFonts w:hint="eastAsia" w:hAnsi="宋体"/>
          <w:color w:val="000000" w:themeColor="text1"/>
          <w:lang w:eastAsia="zh-CN"/>
          <w14:textFill>
            <w14:solidFill>
              <w14:schemeClr w14:val="tx1"/>
            </w14:solidFill>
          </w14:textFill>
        </w:rPr>
        <w:t>2023年9月15日</w:t>
      </w:r>
      <w:r>
        <w:rPr>
          <w:rFonts w:hAnsi="宋体"/>
          <w:color w:val="000000" w:themeColor="text1"/>
          <w14:textFill>
            <w14:solidFill>
              <w14:schemeClr w14:val="tx1"/>
            </w14:solidFill>
          </w14:textFill>
        </w:rPr>
        <w:t>9:15-15:00</w:t>
      </w:r>
      <w:r>
        <w:rPr>
          <w:rFonts w:hint="eastAsia" w:hAnsi="宋体"/>
          <w:color w:val="000000" w:themeColor="text1"/>
          <w14:textFill>
            <w14:solidFill>
              <w14:schemeClr w14:val="tx1"/>
            </w14:solidFill>
          </w14:textFill>
        </w:rPr>
        <w:t>；</w:t>
      </w:r>
    </w:p>
    <w:p>
      <w:pPr>
        <w:pStyle w:val="21"/>
        <w:snapToGrid w:val="0"/>
        <w:spacing w:line="360" w:lineRule="auto"/>
        <w:ind w:firstLine="564" w:firstLineChars="235"/>
        <w:jc w:val="both"/>
        <w:rPr>
          <w:rFonts w:hAnsi="宋体"/>
        </w:rPr>
      </w:pPr>
      <w:r>
        <w:rPr>
          <w:rFonts w:hint="eastAsia" w:hAnsi="宋体"/>
        </w:rPr>
        <w:t>3、现场会议召开地点：上海市杨浦区逸仙路</w:t>
      </w:r>
      <w:r>
        <w:rPr>
          <w:rFonts w:hAnsi="宋体"/>
        </w:rPr>
        <w:t>333号湘海大厦12楼会议室</w:t>
      </w:r>
      <w:r>
        <w:rPr>
          <w:rFonts w:hint="eastAsia" w:hAnsi="宋体"/>
        </w:rPr>
        <w:t>；</w:t>
      </w:r>
    </w:p>
    <w:p>
      <w:pPr>
        <w:pStyle w:val="21"/>
        <w:snapToGrid w:val="0"/>
        <w:spacing w:line="360" w:lineRule="auto"/>
        <w:ind w:firstLine="564" w:firstLineChars="235"/>
        <w:jc w:val="both"/>
        <w:rPr>
          <w:rFonts w:hAnsi="宋体"/>
        </w:rPr>
      </w:pPr>
      <w:r>
        <w:rPr>
          <w:rFonts w:hint="eastAsia" w:hAnsi="宋体"/>
        </w:rPr>
        <w:t>4、会议召集人：公司第八届董事会；</w:t>
      </w:r>
    </w:p>
    <w:p>
      <w:pPr>
        <w:pStyle w:val="21"/>
        <w:snapToGrid w:val="0"/>
        <w:spacing w:line="360" w:lineRule="auto"/>
        <w:ind w:firstLine="564" w:firstLineChars="235"/>
        <w:jc w:val="both"/>
        <w:rPr>
          <w:rFonts w:hAnsi="宋体"/>
        </w:rPr>
      </w:pPr>
      <w:r>
        <w:rPr>
          <w:rFonts w:hint="eastAsia" w:hAnsi="宋体"/>
        </w:rPr>
        <w:t>5、会议主持人：董事长许文智先生；</w:t>
      </w:r>
    </w:p>
    <w:p>
      <w:pPr>
        <w:pStyle w:val="21"/>
        <w:snapToGrid w:val="0"/>
        <w:spacing w:line="360" w:lineRule="auto"/>
        <w:ind w:firstLine="564" w:firstLineChars="235"/>
        <w:jc w:val="both"/>
        <w:rPr>
          <w:rFonts w:hAnsi="宋体"/>
        </w:rPr>
      </w:pPr>
      <w:r>
        <w:rPr>
          <w:rFonts w:hint="eastAsia" w:hAnsi="宋体"/>
        </w:rPr>
        <w:t>6、</w:t>
      </w:r>
      <w:r>
        <w:rPr>
          <w:rFonts w:hAnsi="宋体"/>
        </w:rPr>
        <w:t>本次会议</w:t>
      </w:r>
      <w:r>
        <w:rPr>
          <w:rFonts w:hint="eastAsia" w:hAnsi="宋体"/>
        </w:rPr>
        <w:t>的</w:t>
      </w:r>
      <w:r>
        <w:rPr>
          <w:rFonts w:hAnsi="宋体"/>
        </w:rPr>
        <w:t>召开符合有关法律、行政法规、部门规章、规范性文件和</w:t>
      </w:r>
      <w:r>
        <w:rPr>
          <w:rFonts w:hint="eastAsia" w:hAnsi="宋体"/>
        </w:rPr>
        <w:t>《</w:t>
      </w:r>
      <w:r>
        <w:rPr>
          <w:rFonts w:hAnsi="宋体"/>
        </w:rPr>
        <w:t>公司章程</w:t>
      </w:r>
      <w:r>
        <w:rPr>
          <w:rFonts w:hint="eastAsia" w:hAnsi="宋体"/>
        </w:rPr>
        <w:t>》</w:t>
      </w:r>
      <w:r>
        <w:rPr>
          <w:rFonts w:hAnsi="宋体"/>
        </w:rPr>
        <w:t>的规定。</w:t>
      </w:r>
    </w:p>
    <w:p>
      <w:pPr>
        <w:pStyle w:val="21"/>
        <w:snapToGrid w:val="0"/>
        <w:spacing w:line="360" w:lineRule="auto"/>
        <w:ind w:firstLine="566" w:firstLineChars="235"/>
        <w:jc w:val="both"/>
        <w:rPr>
          <w:rFonts w:hAnsi="宋体"/>
          <w:b/>
        </w:rPr>
      </w:pPr>
      <w:r>
        <w:rPr>
          <w:rFonts w:hint="eastAsia" w:hAnsi="宋体"/>
          <w:b/>
        </w:rPr>
        <w:t>（二）会议出席</w:t>
      </w:r>
      <w:r>
        <w:rPr>
          <w:rFonts w:hAnsi="宋体"/>
          <w:b/>
        </w:rPr>
        <w:t>情况</w:t>
      </w:r>
    </w:p>
    <w:p>
      <w:pPr>
        <w:autoSpaceDE w:val="0"/>
        <w:autoSpaceDN w:val="0"/>
        <w:adjustRightInd w:val="0"/>
        <w:snapToGrid w:val="0"/>
        <w:spacing w:line="360" w:lineRule="auto"/>
        <w:ind w:firstLine="564" w:firstLineChars="235"/>
        <w:rPr>
          <w:rFonts w:cs="宋体"/>
          <w:color w:val="000000"/>
          <w:kern w:val="0"/>
          <w:sz w:val="24"/>
        </w:rPr>
      </w:pPr>
      <w:r>
        <w:rPr>
          <w:rFonts w:hint="eastAsia" w:cs="宋体"/>
          <w:color w:val="000000"/>
          <w:kern w:val="0"/>
          <w:sz w:val="24"/>
        </w:rPr>
        <w:t>1、股东出席的总体情况</w:t>
      </w:r>
    </w:p>
    <w:p>
      <w:pPr>
        <w:autoSpaceDE w:val="0"/>
        <w:autoSpaceDN w:val="0"/>
        <w:adjustRightInd w:val="0"/>
        <w:snapToGrid w:val="0"/>
        <w:spacing w:line="360" w:lineRule="auto"/>
        <w:ind w:firstLine="564" w:firstLineChars="235"/>
        <w:rPr>
          <w:rFonts w:cs="宋体"/>
          <w:kern w:val="0"/>
          <w:sz w:val="24"/>
          <w:highlight w:val="yellow"/>
        </w:rPr>
      </w:pPr>
      <w:r>
        <w:rPr>
          <w:rFonts w:hint="eastAsia" w:ascii="宋体" w:hAnsi="Times New Roman" w:eastAsia="宋体" w:cs="宋体"/>
          <w:color w:val="000000"/>
          <w:kern w:val="0"/>
          <w:sz w:val="24"/>
          <w:szCs w:val="24"/>
          <w:lang w:val="en-US" w:eastAsia="zh-CN" w:bidi="ar-SA"/>
        </w:rPr>
        <w:t>参加表决的股东及股东代表共</w:t>
      </w:r>
      <w:r>
        <w:rPr>
          <w:rFonts w:hint="eastAsia" w:hAnsi="Times New Roman" w:cs="宋体"/>
          <w:color w:val="000000"/>
          <w:kern w:val="0"/>
          <w:sz w:val="24"/>
          <w:szCs w:val="24"/>
          <w:lang w:val="en-US" w:eastAsia="zh-CN" w:bidi="ar-SA"/>
        </w:rPr>
        <w:t>19</w:t>
      </w:r>
      <w:r>
        <w:rPr>
          <w:rFonts w:hint="eastAsia" w:ascii="宋体" w:hAnsi="Times New Roman" w:eastAsia="宋体" w:cs="宋体"/>
          <w:color w:val="000000"/>
          <w:kern w:val="0"/>
          <w:sz w:val="24"/>
          <w:szCs w:val="24"/>
          <w:lang w:val="en-US" w:eastAsia="zh-CN" w:bidi="ar-SA"/>
        </w:rPr>
        <w:t>人，代表股份</w:t>
      </w:r>
      <w:r>
        <w:rPr>
          <w:rFonts w:hint="eastAsia" w:hAnsi="Times New Roman" w:cs="宋体"/>
          <w:color w:val="000000"/>
          <w:kern w:val="0"/>
          <w:sz w:val="24"/>
          <w:szCs w:val="24"/>
          <w:lang w:val="en-US" w:eastAsia="zh-CN" w:bidi="ar-SA"/>
        </w:rPr>
        <w:t>总数554,001,084</w:t>
      </w:r>
      <w:r>
        <w:rPr>
          <w:rFonts w:hint="eastAsia" w:ascii="宋体" w:hAnsi="Times New Roman" w:eastAsia="宋体" w:cs="宋体"/>
          <w:color w:val="000000"/>
          <w:kern w:val="0"/>
          <w:sz w:val="24"/>
          <w:szCs w:val="24"/>
          <w:lang w:val="en-US" w:eastAsia="zh-CN" w:bidi="ar-SA"/>
        </w:rPr>
        <w:t>股，占公司有表决权股份总数的</w:t>
      </w:r>
      <w:r>
        <w:rPr>
          <w:rFonts w:hint="eastAsia"/>
          <w:sz w:val="24"/>
          <w:lang w:eastAsia="zh-CN"/>
        </w:rPr>
        <w:t>46.9214</w:t>
      </w:r>
      <w:r>
        <w:rPr>
          <w:rFonts w:hint="eastAsia" w:ascii="宋体" w:hAnsi="Times New Roman" w:eastAsia="宋体" w:cs="宋体"/>
          <w:color w:val="000000"/>
          <w:kern w:val="0"/>
          <w:sz w:val="24"/>
          <w:szCs w:val="24"/>
          <w:lang w:val="en-US" w:eastAsia="zh-CN" w:bidi="ar-SA"/>
        </w:rPr>
        <w:t>%；</w:t>
      </w:r>
    </w:p>
    <w:p>
      <w:pPr>
        <w:autoSpaceDE w:val="0"/>
        <w:autoSpaceDN w:val="0"/>
        <w:adjustRightInd w:val="0"/>
        <w:snapToGrid w:val="0"/>
        <w:spacing w:line="360" w:lineRule="auto"/>
        <w:ind w:firstLine="564" w:firstLineChars="235"/>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其中，通过现场投票的股东共</w:t>
      </w:r>
      <w:r>
        <w:rPr>
          <w:rFonts w:hint="eastAsia" w:hAnsi="Times New Roman" w:cs="宋体"/>
          <w:color w:val="000000"/>
          <w:kern w:val="0"/>
          <w:sz w:val="24"/>
          <w:szCs w:val="24"/>
          <w:lang w:val="en-US" w:eastAsia="zh-CN" w:bidi="ar-SA"/>
        </w:rPr>
        <w:t>3</w:t>
      </w:r>
      <w:r>
        <w:rPr>
          <w:rFonts w:hint="eastAsia" w:ascii="宋体" w:hAnsi="Times New Roman" w:eastAsia="宋体" w:cs="宋体"/>
          <w:color w:val="000000"/>
          <w:kern w:val="0"/>
          <w:sz w:val="24"/>
          <w:szCs w:val="24"/>
          <w:lang w:val="en-US" w:eastAsia="zh-CN" w:bidi="ar-SA"/>
        </w:rPr>
        <w:t>人，代表股份总数159,760,326股，占</w:t>
      </w:r>
      <w:r>
        <w:rPr>
          <w:rFonts w:hint="eastAsia" w:hAnsi="Times New Roman" w:cs="宋体"/>
          <w:color w:val="000000"/>
          <w:kern w:val="0"/>
          <w:sz w:val="24"/>
          <w:szCs w:val="24"/>
          <w:lang w:val="en-US" w:eastAsia="zh-CN" w:bidi="ar-SA"/>
        </w:rPr>
        <w:t>公司</w:t>
      </w:r>
      <w:r>
        <w:rPr>
          <w:rFonts w:hint="eastAsia" w:ascii="宋体" w:hAnsi="Times New Roman" w:eastAsia="宋体" w:cs="宋体"/>
          <w:color w:val="000000"/>
          <w:kern w:val="0"/>
          <w:sz w:val="24"/>
          <w:szCs w:val="24"/>
          <w:lang w:val="en-US" w:eastAsia="zh-CN" w:bidi="ar-SA"/>
        </w:rPr>
        <w:t>有表决权股份总数比例为</w:t>
      </w:r>
      <w:r>
        <w:rPr>
          <w:rFonts w:hint="eastAsia" w:ascii="宋体" w:hAnsi="宋体" w:eastAsia="宋体"/>
          <w:sz w:val="24"/>
          <w:lang w:val="en-US" w:eastAsia="zh-CN"/>
        </w:rPr>
        <w:t>13.5310</w:t>
      </w:r>
      <w:r>
        <w:rPr>
          <w:rFonts w:hint="eastAsia" w:ascii="宋体" w:hAnsi="Times New Roman" w:eastAsia="宋体" w:cs="宋体"/>
          <w:color w:val="000000"/>
          <w:kern w:val="0"/>
          <w:sz w:val="24"/>
          <w:szCs w:val="24"/>
          <w:lang w:val="en-US" w:eastAsia="zh-CN" w:bidi="ar-SA"/>
        </w:rPr>
        <w:t>%；通过网络投票的股东共</w:t>
      </w:r>
      <w:r>
        <w:rPr>
          <w:rFonts w:hint="eastAsia"/>
          <w:sz w:val="24"/>
          <w:lang w:eastAsia="zh-CN"/>
        </w:rPr>
        <w:t>16</w:t>
      </w:r>
      <w:r>
        <w:rPr>
          <w:rFonts w:hint="eastAsia" w:ascii="宋体" w:hAnsi="Times New Roman" w:eastAsia="宋体" w:cs="宋体"/>
          <w:color w:val="000000"/>
          <w:kern w:val="0"/>
          <w:sz w:val="24"/>
          <w:szCs w:val="24"/>
          <w:lang w:val="en-US" w:eastAsia="zh-CN" w:bidi="ar-SA"/>
        </w:rPr>
        <w:t>人，代表股份</w:t>
      </w:r>
      <w:r>
        <w:rPr>
          <w:rFonts w:hint="eastAsia" w:hAnsi="Times New Roman" w:cs="宋体"/>
          <w:color w:val="000000"/>
          <w:kern w:val="0"/>
          <w:sz w:val="24"/>
          <w:szCs w:val="24"/>
          <w:lang w:val="en-US" w:eastAsia="zh-CN" w:bidi="ar-SA"/>
        </w:rPr>
        <w:t>总数</w:t>
      </w:r>
      <w:r>
        <w:rPr>
          <w:rFonts w:hint="eastAsia"/>
          <w:sz w:val="24"/>
          <w:lang w:eastAsia="zh-CN"/>
        </w:rPr>
        <w:t>394,240,758</w:t>
      </w:r>
      <w:r>
        <w:rPr>
          <w:rFonts w:hint="eastAsia" w:ascii="宋体" w:hAnsi="Times New Roman" w:eastAsia="宋体" w:cs="宋体"/>
          <w:color w:val="000000"/>
          <w:kern w:val="0"/>
          <w:sz w:val="24"/>
          <w:szCs w:val="24"/>
          <w:lang w:val="en-US" w:eastAsia="zh-CN" w:bidi="ar-SA"/>
        </w:rPr>
        <w:t>股，占公司有表决权股份总数的</w:t>
      </w:r>
      <w:r>
        <w:rPr>
          <w:rFonts w:hint="eastAsia"/>
          <w:sz w:val="24"/>
          <w:lang w:eastAsia="zh-CN"/>
        </w:rPr>
        <w:t>33.3904</w:t>
      </w:r>
      <w:r>
        <w:rPr>
          <w:rFonts w:hint="eastAsia" w:ascii="宋体" w:hAnsi="Times New Roman" w:eastAsia="宋体" w:cs="宋体"/>
          <w:color w:val="000000"/>
          <w:kern w:val="0"/>
          <w:sz w:val="24"/>
          <w:szCs w:val="24"/>
          <w:lang w:val="en-US" w:eastAsia="zh-CN" w:bidi="ar-SA"/>
        </w:rPr>
        <w:t>%；</w:t>
      </w:r>
    </w:p>
    <w:p>
      <w:pPr>
        <w:autoSpaceDE w:val="0"/>
        <w:autoSpaceDN w:val="0"/>
        <w:adjustRightInd w:val="0"/>
        <w:snapToGrid w:val="0"/>
        <w:spacing w:line="360" w:lineRule="auto"/>
        <w:ind w:firstLine="564" w:firstLineChars="235"/>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2、中小股东出席的总体情况</w:t>
      </w:r>
    </w:p>
    <w:p>
      <w:pPr>
        <w:autoSpaceDE w:val="0"/>
        <w:autoSpaceDN w:val="0"/>
        <w:adjustRightInd w:val="0"/>
        <w:snapToGrid w:val="0"/>
        <w:spacing w:line="360" w:lineRule="auto"/>
        <w:ind w:firstLine="564" w:firstLineChars="235"/>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通过现场和网络投票的股东共</w:t>
      </w:r>
      <w:r>
        <w:rPr>
          <w:rFonts w:hint="eastAsia" w:hAnsi="Times New Roman" w:cs="宋体"/>
          <w:color w:val="000000"/>
          <w:kern w:val="0"/>
          <w:sz w:val="24"/>
          <w:szCs w:val="24"/>
          <w:lang w:val="en-US" w:eastAsia="zh-CN" w:bidi="ar-SA"/>
        </w:rPr>
        <w:t>12</w:t>
      </w:r>
      <w:r>
        <w:rPr>
          <w:rFonts w:hint="eastAsia" w:ascii="宋体" w:hAnsi="Times New Roman" w:eastAsia="宋体" w:cs="宋体"/>
          <w:color w:val="000000"/>
          <w:kern w:val="0"/>
          <w:sz w:val="24"/>
          <w:szCs w:val="24"/>
          <w:lang w:val="en-US" w:eastAsia="zh-CN" w:bidi="ar-SA"/>
        </w:rPr>
        <w:t>人，代表股份总数</w:t>
      </w:r>
      <w:r>
        <w:rPr>
          <w:rFonts w:hint="eastAsia"/>
          <w:sz w:val="24"/>
          <w:lang w:eastAsia="zh-CN"/>
        </w:rPr>
        <w:t>11</w:t>
      </w:r>
      <w:r>
        <w:rPr>
          <w:rFonts w:hint="eastAsia"/>
          <w:sz w:val="24"/>
          <w:lang w:val="en-US" w:eastAsia="zh-CN"/>
        </w:rPr>
        <w:t>9</w:t>
      </w:r>
      <w:r>
        <w:rPr>
          <w:rFonts w:hint="eastAsia"/>
          <w:sz w:val="24"/>
          <w:lang w:eastAsia="zh-CN"/>
        </w:rPr>
        <w:t>,844</w:t>
      </w:r>
      <w:r>
        <w:rPr>
          <w:rFonts w:hint="eastAsia" w:ascii="宋体" w:hAnsi="Times New Roman" w:eastAsia="宋体" w:cs="宋体"/>
          <w:color w:val="000000"/>
          <w:kern w:val="0"/>
          <w:sz w:val="24"/>
          <w:szCs w:val="24"/>
          <w:lang w:val="en-US" w:eastAsia="zh-CN" w:bidi="ar-SA"/>
        </w:rPr>
        <w:t>股，占</w:t>
      </w:r>
      <w:r>
        <w:rPr>
          <w:rFonts w:hint="eastAsia" w:hAnsi="Times New Roman" w:cs="宋体"/>
          <w:color w:val="000000"/>
          <w:kern w:val="0"/>
          <w:sz w:val="24"/>
          <w:szCs w:val="24"/>
          <w:lang w:val="en-US" w:eastAsia="zh-CN" w:bidi="ar-SA"/>
        </w:rPr>
        <w:t>公司</w:t>
      </w:r>
      <w:r>
        <w:rPr>
          <w:rFonts w:hint="eastAsia" w:ascii="宋体" w:hAnsi="Times New Roman" w:eastAsia="宋体" w:cs="宋体"/>
          <w:color w:val="000000"/>
          <w:kern w:val="0"/>
          <w:sz w:val="24"/>
          <w:szCs w:val="24"/>
          <w:lang w:val="en-US" w:eastAsia="zh-CN" w:bidi="ar-SA"/>
        </w:rPr>
        <w:t>有表决权股份总数比例为</w:t>
      </w:r>
      <w:r>
        <w:rPr>
          <w:rFonts w:hint="eastAsia"/>
          <w:sz w:val="24"/>
          <w:lang w:eastAsia="zh-CN"/>
        </w:rPr>
        <w:t>0.010</w:t>
      </w:r>
      <w:r>
        <w:rPr>
          <w:rFonts w:hint="eastAsia"/>
          <w:sz w:val="24"/>
          <w:lang w:val="en-US" w:eastAsia="zh-CN"/>
        </w:rPr>
        <w:t>2</w:t>
      </w:r>
      <w:bookmarkStart w:id="2" w:name="_GoBack"/>
      <w:bookmarkEnd w:id="2"/>
      <w:r>
        <w:rPr>
          <w:rFonts w:hint="eastAsia" w:ascii="宋体" w:hAnsi="Times New Roman" w:eastAsia="宋体" w:cs="宋体"/>
          <w:color w:val="000000"/>
          <w:kern w:val="0"/>
          <w:sz w:val="24"/>
          <w:szCs w:val="24"/>
          <w:lang w:val="en-US" w:eastAsia="zh-CN" w:bidi="ar-SA"/>
        </w:rPr>
        <w:t>％；</w:t>
      </w:r>
    </w:p>
    <w:p>
      <w:pPr>
        <w:autoSpaceDE w:val="0"/>
        <w:autoSpaceDN w:val="0"/>
        <w:adjustRightInd w:val="0"/>
        <w:snapToGrid w:val="0"/>
        <w:spacing w:line="360" w:lineRule="auto"/>
        <w:ind w:firstLine="564" w:firstLineChars="235"/>
        <w:rPr>
          <w:rFonts w:cs="宋体"/>
          <w:kern w:val="0"/>
          <w:sz w:val="24"/>
          <w:highlight w:val="yellow"/>
        </w:rPr>
      </w:pPr>
      <w:r>
        <w:rPr>
          <w:rFonts w:hint="eastAsia" w:ascii="宋体" w:hAnsi="Times New Roman" w:eastAsia="宋体" w:cs="宋体"/>
          <w:color w:val="000000"/>
          <w:kern w:val="0"/>
          <w:sz w:val="24"/>
          <w:szCs w:val="24"/>
          <w:lang w:val="en-US" w:eastAsia="zh-CN" w:bidi="ar-SA"/>
        </w:rPr>
        <w:t>其中，通过现场投票的股东共</w:t>
      </w:r>
      <w:r>
        <w:rPr>
          <w:rFonts w:hint="eastAsia" w:hAnsi="Times New Roman" w:cs="宋体"/>
          <w:color w:val="000000"/>
          <w:kern w:val="0"/>
          <w:sz w:val="24"/>
          <w:szCs w:val="24"/>
          <w:lang w:val="en-US" w:eastAsia="zh-CN" w:bidi="ar-SA"/>
        </w:rPr>
        <w:t>1</w:t>
      </w:r>
      <w:r>
        <w:rPr>
          <w:rFonts w:hint="eastAsia" w:ascii="宋体" w:hAnsi="Times New Roman" w:eastAsia="宋体" w:cs="宋体"/>
          <w:color w:val="000000"/>
          <w:kern w:val="0"/>
          <w:sz w:val="24"/>
          <w:szCs w:val="24"/>
          <w:lang w:val="en-US" w:eastAsia="zh-CN" w:bidi="ar-SA"/>
        </w:rPr>
        <w:t>人，代表股份总数</w:t>
      </w:r>
      <w:r>
        <w:rPr>
          <w:rFonts w:hint="eastAsia" w:hAnsi="Times New Roman" w:cs="宋体"/>
          <w:color w:val="000000"/>
          <w:kern w:val="0"/>
          <w:sz w:val="24"/>
          <w:szCs w:val="24"/>
          <w:lang w:val="en-US" w:eastAsia="zh-CN" w:bidi="ar-SA"/>
        </w:rPr>
        <w:t>1,0</w:t>
      </w:r>
      <w:r>
        <w:rPr>
          <w:rFonts w:hint="eastAsia" w:ascii="宋体" w:hAnsi="Times New Roman" w:eastAsia="宋体" w:cs="宋体"/>
          <w:color w:val="000000"/>
          <w:kern w:val="0"/>
          <w:sz w:val="24"/>
          <w:szCs w:val="24"/>
          <w:lang w:val="en-US" w:eastAsia="zh-CN" w:bidi="ar-SA"/>
        </w:rPr>
        <w:t>00股，占</w:t>
      </w:r>
      <w:r>
        <w:rPr>
          <w:rFonts w:hint="eastAsia" w:hAnsi="Times New Roman" w:cs="宋体"/>
          <w:color w:val="000000"/>
          <w:kern w:val="0"/>
          <w:sz w:val="24"/>
          <w:szCs w:val="24"/>
          <w:lang w:val="en-US" w:eastAsia="zh-CN" w:bidi="ar-SA"/>
        </w:rPr>
        <w:t>公司</w:t>
      </w:r>
      <w:r>
        <w:rPr>
          <w:rFonts w:hint="eastAsia" w:ascii="宋体" w:hAnsi="Times New Roman" w:eastAsia="宋体" w:cs="宋体"/>
          <w:color w:val="000000"/>
          <w:kern w:val="0"/>
          <w:sz w:val="24"/>
          <w:szCs w:val="24"/>
          <w:lang w:val="en-US" w:eastAsia="zh-CN" w:bidi="ar-SA"/>
        </w:rPr>
        <w:t>有表决权股份总数比例为</w:t>
      </w:r>
      <w:r>
        <w:rPr>
          <w:rFonts w:hint="eastAsia"/>
          <w:sz w:val="24"/>
          <w:lang w:eastAsia="zh-CN"/>
        </w:rPr>
        <w:t>0.0001</w:t>
      </w:r>
      <w:r>
        <w:rPr>
          <w:rFonts w:hint="eastAsia" w:ascii="宋体" w:hAnsi="Times New Roman" w:eastAsia="宋体" w:cs="宋体"/>
          <w:color w:val="000000"/>
          <w:kern w:val="0"/>
          <w:sz w:val="24"/>
          <w:szCs w:val="24"/>
          <w:lang w:val="en-US" w:eastAsia="zh-CN" w:bidi="ar-SA"/>
        </w:rPr>
        <w:t>％；通过网络投票的股东共</w:t>
      </w:r>
      <w:r>
        <w:rPr>
          <w:rFonts w:hint="eastAsia" w:hAnsi="Times New Roman" w:cs="宋体"/>
          <w:color w:val="000000"/>
          <w:kern w:val="0"/>
          <w:sz w:val="24"/>
          <w:szCs w:val="24"/>
          <w:lang w:val="en-US" w:eastAsia="zh-CN" w:bidi="ar-SA"/>
        </w:rPr>
        <w:t>11</w:t>
      </w:r>
      <w:r>
        <w:rPr>
          <w:rFonts w:hint="eastAsia" w:ascii="宋体" w:hAnsi="Times New Roman" w:eastAsia="宋体" w:cs="宋体"/>
          <w:color w:val="000000"/>
          <w:kern w:val="0"/>
          <w:sz w:val="24"/>
          <w:szCs w:val="24"/>
          <w:lang w:val="en-US" w:eastAsia="zh-CN" w:bidi="ar-SA"/>
        </w:rPr>
        <w:t>人，代表股份总数</w:t>
      </w:r>
      <w:r>
        <w:rPr>
          <w:rFonts w:hint="eastAsia"/>
          <w:sz w:val="24"/>
          <w:lang w:eastAsia="zh-CN"/>
        </w:rPr>
        <w:t>118,844</w:t>
      </w:r>
      <w:r>
        <w:rPr>
          <w:rFonts w:hint="eastAsia" w:ascii="宋体" w:hAnsi="Times New Roman" w:eastAsia="宋体" w:cs="宋体"/>
          <w:color w:val="000000"/>
          <w:kern w:val="0"/>
          <w:sz w:val="24"/>
          <w:szCs w:val="24"/>
          <w:lang w:val="en-US" w:eastAsia="zh-CN" w:bidi="ar-SA"/>
        </w:rPr>
        <w:t>股，占</w:t>
      </w:r>
      <w:r>
        <w:rPr>
          <w:rFonts w:hint="eastAsia" w:hAnsi="Times New Roman" w:cs="宋体"/>
          <w:color w:val="000000"/>
          <w:kern w:val="0"/>
          <w:sz w:val="24"/>
          <w:szCs w:val="24"/>
          <w:lang w:val="en-US" w:eastAsia="zh-CN" w:bidi="ar-SA"/>
        </w:rPr>
        <w:t>公司</w:t>
      </w:r>
      <w:r>
        <w:rPr>
          <w:rFonts w:hint="eastAsia" w:ascii="宋体" w:hAnsi="Times New Roman" w:eastAsia="宋体" w:cs="宋体"/>
          <w:color w:val="000000"/>
          <w:kern w:val="0"/>
          <w:sz w:val="24"/>
          <w:szCs w:val="24"/>
          <w:lang w:val="en-US" w:eastAsia="zh-CN" w:bidi="ar-SA"/>
        </w:rPr>
        <w:t>有表决权股份总数比例为</w:t>
      </w:r>
      <w:r>
        <w:rPr>
          <w:rFonts w:hint="eastAsia" w:hAnsi="Times New Roman" w:cs="宋体"/>
          <w:color w:val="000000"/>
          <w:kern w:val="0"/>
          <w:sz w:val="24"/>
          <w:szCs w:val="24"/>
          <w:lang w:val="en-US" w:eastAsia="zh-CN" w:bidi="ar-SA"/>
        </w:rPr>
        <w:t>0.0101</w:t>
      </w:r>
      <w:r>
        <w:rPr>
          <w:rFonts w:hint="eastAsia" w:ascii="宋体" w:hAnsi="Times New Roman" w:eastAsia="宋体" w:cs="宋体"/>
          <w:color w:val="000000"/>
          <w:kern w:val="0"/>
          <w:sz w:val="24"/>
          <w:szCs w:val="24"/>
          <w:lang w:val="en-US" w:eastAsia="zh-CN" w:bidi="ar-SA"/>
        </w:rPr>
        <w:t>％。</w:t>
      </w:r>
    </w:p>
    <w:p>
      <w:pPr>
        <w:pStyle w:val="21"/>
        <w:snapToGrid w:val="0"/>
        <w:spacing w:line="360" w:lineRule="auto"/>
        <w:ind w:firstLine="564" w:firstLineChars="235"/>
        <w:jc w:val="both"/>
        <w:rPr>
          <w:rFonts w:hAnsi="宋体"/>
          <w:highlight w:val="yellow"/>
        </w:rPr>
      </w:pPr>
      <w:r>
        <w:rPr>
          <w:rFonts w:hint="eastAsia"/>
        </w:rPr>
        <w:t>3、公司</w:t>
      </w:r>
      <w:r>
        <w:rPr>
          <w:rFonts w:hint="eastAsia"/>
          <w:lang w:val="en-US" w:eastAsia="zh-CN"/>
        </w:rPr>
        <w:t>部分</w:t>
      </w:r>
      <w:r>
        <w:rPr>
          <w:rFonts w:hint="eastAsia"/>
        </w:rPr>
        <w:t>董事、监事、高级管理人员及见证律师以现场或通讯方式出席或列席了本次股东大会。</w:t>
      </w:r>
    </w:p>
    <w:p>
      <w:pPr>
        <w:pStyle w:val="21"/>
        <w:snapToGrid w:val="0"/>
        <w:spacing w:line="360" w:lineRule="auto"/>
        <w:ind w:firstLine="566" w:firstLineChars="235"/>
        <w:rPr>
          <w:rFonts w:hAnsi="宋体"/>
          <w:b/>
        </w:rPr>
      </w:pPr>
      <w:r>
        <w:rPr>
          <w:rFonts w:hint="eastAsia" w:hAnsi="宋体"/>
          <w:b/>
        </w:rPr>
        <w:t>二、提案审议表决情况</w:t>
      </w:r>
    </w:p>
    <w:p>
      <w:pPr>
        <w:pStyle w:val="21"/>
        <w:snapToGrid w:val="0"/>
        <w:spacing w:line="360" w:lineRule="auto"/>
        <w:ind w:firstLine="566" w:firstLineChars="235"/>
        <w:rPr>
          <w:rFonts w:hAnsi="宋体"/>
          <w:b/>
        </w:rPr>
      </w:pPr>
      <w:r>
        <w:rPr>
          <w:rFonts w:hint="eastAsia" w:hAnsi="宋体"/>
          <w:b/>
        </w:rPr>
        <w:t>（一）本次</w:t>
      </w:r>
      <w:r>
        <w:rPr>
          <w:rFonts w:hAnsi="宋体"/>
          <w:b/>
        </w:rPr>
        <w:t>股东大会提案</w:t>
      </w:r>
      <w:r>
        <w:rPr>
          <w:rFonts w:hint="eastAsia" w:hAnsi="宋体"/>
          <w:b/>
        </w:rPr>
        <w:t>采用现场表决与网络投票相结合的表决方式；</w:t>
      </w:r>
    </w:p>
    <w:p>
      <w:pPr>
        <w:pStyle w:val="21"/>
        <w:snapToGrid w:val="0"/>
        <w:spacing w:line="360" w:lineRule="auto"/>
        <w:ind w:firstLine="566" w:firstLineChars="235"/>
        <w:rPr>
          <w:rFonts w:hAnsi="宋体"/>
          <w:b/>
        </w:rPr>
      </w:pPr>
      <w:r>
        <w:rPr>
          <w:rFonts w:hint="eastAsia" w:hAnsi="宋体"/>
          <w:b/>
        </w:rPr>
        <w:t>（二）提案详细表决情况如下：</w:t>
      </w:r>
    </w:p>
    <w:p>
      <w:pPr>
        <w:pStyle w:val="21"/>
        <w:snapToGrid w:val="0"/>
        <w:spacing w:line="360" w:lineRule="auto"/>
        <w:ind w:firstLine="482" w:firstLineChars="200"/>
        <w:rPr>
          <w:rFonts w:hint="eastAsia" w:hAnsi="宋体" w:eastAsia="宋体"/>
          <w:b/>
          <w:lang w:eastAsia="zh-CN"/>
        </w:rPr>
      </w:pPr>
      <w:r>
        <w:rPr>
          <w:rFonts w:hint="eastAsia" w:hAnsi="宋体"/>
          <w:b/>
        </w:rPr>
        <w:t>1、议案名称：</w:t>
      </w:r>
      <w:r>
        <w:rPr>
          <w:rFonts w:hint="eastAsia" w:hAnsi="宋体"/>
          <w:b/>
          <w:lang w:eastAsia="zh-CN"/>
        </w:rPr>
        <w:t>关于变更公司注册资本、修订《公司章程》并办理工商变更登记的议案</w:t>
      </w:r>
    </w:p>
    <w:p>
      <w:pPr>
        <w:pStyle w:val="21"/>
        <w:snapToGrid w:val="0"/>
        <w:spacing w:line="360" w:lineRule="auto"/>
        <w:ind w:firstLine="480" w:firstLineChars="200"/>
        <w:rPr>
          <w:rFonts w:hint="eastAsia" w:hAnsi="宋体"/>
        </w:rPr>
      </w:pPr>
      <w:r>
        <w:rPr>
          <w:rFonts w:hint="eastAsia" w:hAnsi="宋体"/>
        </w:rPr>
        <w:t>审议结果：本议案属于特别决议议案，获出席本次股东大会有表决权股份总数的2/3以上审议通过</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536"/>
        <w:gridCol w:w="1556"/>
        <w:gridCol w:w="936"/>
        <w:gridCol w:w="1497"/>
        <w:gridCol w:w="93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restart"/>
            <w:vAlign w:val="center"/>
          </w:tcPr>
          <w:p>
            <w:pPr>
              <w:pStyle w:val="21"/>
              <w:adjustRightInd/>
              <w:spacing w:line="360" w:lineRule="auto"/>
              <w:jc w:val="center"/>
              <w:rPr>
                <w:rFonts w:hAnsi="宋体"/>
                <w:b/>
              </w:rPr>
            </w:pPr>
          </w:p>
        </w:tc>
        <w:tc>
          <w:tcPr>
            <w:tcW w:w="1593" w:type="pct"/>
            <w:gridSpan w:val="2"/>
            <w:vAlign w:val="center"/>
          </w:tcPr>
          <w:p>
            <w:pPr>
              <w:pStyle w:val="21"/>
              <w:adjustRightInd/>
              <w:spacing w:line="360" w:lineRule="auto"/>
              <w:jc w:val="center"/>
              <w:rPr>
                <w:rFonts w:hAnsi="宋体"/>
                <w:b/>
              </w:rPr>
            </w:pPr>
            <w:r>
              <w:rPr>
                <w:rFonts w:hint="eastAsia" w:hAnsi="宋体"/>
                <w:b/>
              </w:rPr>
              <w:t>同意</w:t>
            </w:r>
          </w:p>
        </w:tc>
        <w:tc>
          <w:tcPr>
            <w:tcW w:w="1400" w:type="pct"/>
            <w:gridSpan w:val="2"/>
            <w:vAlign w:val="center"/>
          </w:tcPr>
          <w:p>
            <w:pPr>
              <w:pStyle w:val="21"/>
              <w:adjustRightInd/>
              <w:spacing w:line="360" w:lineRule="auto"/>
              <w:jc w:val="center"/>
              <w:rPr>
                <w:rFonts w:hAnsi="宋体"/>
                <w:b/>
              </w:rPr>
            </w:pPr>
            <w:r>
              <w:rPr>
                <w:rFonts w:hint="eastAsia" w:hAnsi="宋体"/>
                <w:b/>
              </w:rPr>
              <w:t>反对</w:t>
            </w:r>
          </w:p>
        </w:tc>
        <w:tc>
          <w:tcPr>
            <w:tcW w:w="1333" w:type="pct"/>
            <w:gridSpan w:val="2"/>
            <w:vAlign w:val="center"/>
          </w:tcPr>
          <w:p>
            <w:pPr>
              <w:pStyle w:val="21"/>
              <w:adjustRightInd/>
              <w:spacing w:line="360" w:lineRule="auto"/>
              <w:jc w:val="center"/>
              <w:rPr>
                <w:rFonts w:hAnsi="宋体"/>
                <w:b/>
              </w:rPr>
            </w:pPr>
            <w:r>
              <w:rPr>
                <w:rFonts w:hint="eastAsia" w:hAnsi="宋体"/>
                <w:b/>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pct"/>
            <w:vMerge w:val="continue"/>
            <w:vAlign w:val="center"/>
          </w:tcPr>
          <w:p>
            <w:pPr>
              <w:pStyle w:val="21"/>
              <w:adjustRightInd/>
              <w:jc w:val="center"/>
              <w:rPr>
                <w:rFonts w:hAnsi="宋体"/>
              </w:rPr>
            </w:pPr>
          </w:p>
        </w:tc>
        <w:tc>
          <w:tcPr>
            <w:tcW w:w="708" w:type="pct"/>
            <w:vAlign w:val="center"/>
          </w:tcPr>
          <w:p>
            <w:pPr>
              <w:pStyle w:val="21"/>
              <w:adjustRightInd/>
              <w:jc w:val="center"/>
              <w:rPr>
                <w:rFonts w:hAnsi="宋体"/>
              </w:rPr>
            </w:pPr>
            <w:r>
              <w:rPr>
                <w:rFonts w:hint="eastAsia" w:hAnsi="宋体"/>
              </w:rPr>
              <w:t>股数</w:t>
            </w:r>
          </w:p>
          <w:p>
            <w:pPr>
              <w:pStyle w:val="21"/>
              <w:adjustRightInd/>
              <w:jc w:val="center"/>
              <w:rPr>
                <w:rFonts w:hAnsi="宋体"/>
              </w:rPr>
            </w:pPr>
            <w:r>
              <w:rPr>
                <w:rFonts w:hint="eastAsia" w:hAnsi="宋体"/>
              </w:rPr>
              <w:t>（股）</w:t>
            </w:r>
          </w:p>
        </w:tc>
        <w:tc>
          <w:tcPr>
            <w:tcW w:w="884" w:type="pct"/>
            <w:vAlign w:val="center"/>
          </w:tcPr>
          <w:p>
            <w:pPr>
              <w:pStyle w:val="21"/>
              <w:adjustRightInd/>
              <w:jc w:val="center"/>
              <w:rPr>
                <w:rFonts w:hAnsi="宋体"/>
              </w:rPr>
            </w:pPr>
            <w:r>
              <w:rPr>
                <w:rFonts w:hint="eastAsia" w:hAnsi="宋体"/>
              </w:rPr>
              <w:t>占出席会议所有/中小股东所持有表决权股份总数的比例（%）</w:t>
            </w:r>
          </w:p>
        </w:tc>
        <w:tc>
          <w:tcPr>
            <w:tcW w:w="521" w:type="pct"/>
            <w:vAlign w:val="center"/>
          </w:tcPr>
          <w:p>
            <w:pPr>
              <w:pStyle w:val="21"/>
              <w:adjustRightInd/>
              <w:jc w:val="center"/>
              <w:rPr>
                <w:rFonts w:hAnsi="宋体"/>
              </w:rPr>
            </w:pPr>
            <w:r>
              <w:rPr>
                <w:rFonts w:hint="eastAsia" w:hAnsi="宋体"/>
              </w:rPr>
              <w:t>股数</w:t>
            </w:r>
          </w:p>
          <w:p>
            <w:pPr>
              <w:pStyle w:val="21"/>
              <w:adjustRightInd/>
              <w:jc w:val="center"/>
              <w:rPr>
                <w:rFonts w:hAnsi="宋体"/>
              </w:rPr>
            </w:pPr>
            <w:r>
              <w:rPr>
                <w:rFonts w:hint="eastAsia" w:hAnsi="宋体"/>
              </w:rPr>
              <w:t>（股）</w:t>
            </w:r>
          </w:p>
        </w:tc>
        <w:tc>
          <w:tcPr>
            <w:tcW w:w="878" w:type="pct"/>
            <w:vAlign w:val="center"/>
          </w:tcPr>
          <w:p>
            <w:pPr>
              <w:pStyle w:val="21"/>
              <w:adjustRightInd/>
              <w:jc w:val="center"/>
              <w:rPr>
                <w:rFonts w:hAnsi="宋体"/>
              </w:rPr>
            </w:pPr>
            <w:r>
              <w:rPr>
                <w:rFonts w:hint="eastAsia" w:hAnsi="宋体"/>
              </w:rPr>
              <w:t>占出席会议所有/中小股东所持有表决权股份总数的比例（%）</w:t>
            </w:r>
          </w:p>
        </w:tc>
        <w:tc>
          <w:tcPr>
            <w:tcW w:w="455" w:type="pct"/>
            <w:vAlign w:val="center"/>
          </w:tcPr>
          <w:p>
            <w:pPr>
              <w:pStyle w:val="21"/>
              <w:adjustRightInd/>
              <w:jc w:val="center"/>
              <w:rPr>
                <w:rFonts w:hAnsi="宋体"/>
              </w:rPr>
            </w:pPr>
            <w:r>
              <w:rPr>
                <w:rFonts w:hint="eastAsia" w:hAnsi="宋体"/>
              </w:rPr>
              <w:t>股数</w:t>
            </w:r>
          </w:p>
          <w:p>
            <w:pPr>
              <w:pStyle w:val="21"/>
              <w:adjustRightInd/>
              <w:jc w:val="center"/>
              <w:rPr>
                <w:rFonts w:hAnsi="宋体"/>
              </w:rPr>
            </w:pPr>
            <w:r>
              <w:rPr>
                <w:rFonts w:hint="eastAsia" w:hAnsi="宋体"/>
              </w:rPr>
              <w:t>（股）</w:t>
            </w:r>
          </w:p>
        </w:tc>
        <w:tc>
          <w:tcPr>
            <w:tcW w:w="877" w:type="pct"/>
            <w:vAlign w:val="center"/>
          </w:tcPr>
          <w:p>
            <w:pPr>
              <w:pStyle w:val="21"/>
              <w:adjustRightInd/>
              <w:jc w:val="center"/>
              <w:rPr>
                <w:rFonts w:hAnsi="宋体"/>
              </w:rPr>
            </w:pPr>
            <w:r>
              <w:rPr>
                <w:rFonts w:hint="eastAsia" w:hAnsi="宋体"/>
              </w:rPr>
              <w:t>占出席会议所有/中小股东所持有表决权股份总数的比例（%）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2" w:type="pct"/>
            <w:vAlign w:val="center"/>
          </w:tcPr>
          <w:p>
            <w:pPr>
              <w:pStyle w:val="21"/>
              <w:adjustRightInd/>
              <w:jc w:val="center"/>
              <w:rPr>
                <w:rFonts w:hAnsi="宋体"/>
              </w:rPr>
            </w:pPr>
            <w:bookmarkStart w:id="1" w:name="_Hlk41487941"/>
            <w:r>
              <w:rPr>
                <w:rFonts w:hint="eastAsia" w:hAnsi="宋体"/>
              </w:rPr>
              <w:t>总表决情况</w:t>
            </w:r>
          </w:p>
        </w:tc>
        <w:tc>
          <w:tcPr>
            <w:tcW w:w="708" w:type="pct"/>
            <w:vAlign w:val="center"/>
          </w:tcPr>
          <w:p>
            <w:pPr>
              <w:pStyle w:val="21"/>
              <w:adjustRightInd/>
              <w:jc w:val="center"/>
              <w:rPr>
                <w:rFonts w:hint="eastAsia" w:hAnsi="宋体"/>
              </w:rPr>
            </w:pPr>
            <w:r>
              <w:rPr>
                <w:rFonts w:hint="eastAsia"/>
                <w:b w:val="0"/>
                <w:sz w:val="24"/>
                <w:lang w:eastAsia="zh-CN"/>
              </w:rPr>
              <w:t>553,947,684</w:t>
            </w:r>
          </w:p>
        </w:tc>
        <w:tc>
          <w:tcPr>
            <w:tcW w:w="884" w:type="pct"/>
            <w:vAlign w:val="center"/>
          </w:tcPr>
          <w:p>
            <w:pPr>
              <w:pStyle w:val="21"/>
              <w:adjustRightInd/>
              <w:jc w:val="center"/>
              <w:rPr>
                <w:rFonts w:hint="eastAsia" w:hAnsi="宋体"/>
              </w:rPr>
            </w:pPr>
            <w:r>
              <w:rPr>
                <w:rFonts w:hint="eastAsia"/>
                <w:b w:val="0"/>
                <w:sz w:val="24"/>
                <w:lang w:eastAsia="zh-CN"/>
              </w:rPr>
              <w:t>99.9904</w:t>
            </w:r>
          </w:p>
        </w:tc>
        <w:tc>
          <w:tcPr>
            <w:tcW w:w="521" w:type="pct"/>
            <w:vAlign w:val="center"/>
          </w:tcPr>
          <w:p>
            <w:pPr>
              <w:pStyle w:val="21"/>
              <w:adjustRightInd/>
              <w:jc w:val="center"/>
              <w:rPr>
                <w:rFonts w:hint="eastAsia" w:hAnsi="宋体"/>
              </w:rPr>
            </w:pPr>
            <w:r>
              <w:rPr>
                <w:rFonts w:hint="eastAsia"/>
                <w:b w:val="0"/>
                <w:sz w:val="24"/>
                <w:lang w:eastAsia="zh-CN"/>
              </w:rPr>
              <w:t>53,400</w:t>
            </w:r>
          </w:p>
        </w:tc>
        <w:tc>
          <w:tcPr>
            <w:tcW w:w="878" w:type="pct"/>
            <w:vAlign w:val="center"/>
          </w:tcPr>
          <w:p>
            <w:pPr>
              <w:pStyle w:val="21"/>
              <w:adjustRightInd/>
              <w:jc w:val="center"/>
              <w:rPr>
                <w:rFonts w:hint="eastAsia" w:hAnsi="宋体"/>
              </w:rPr>
            </w:pPr>
            <w:r>
              <w:rPr>
                <w:rFonts w:hint="eastAsia"/>
                <w:b w:val="0"/>
                <w:sz w:val="24"/>
                <w:lang w:eastAsia="zh-CN"/>
              </w:rPr>
              <w:t>0.0096</w:t>
            </w:r>
          </w:p>
        </w:tc>
        <w:tc>
          <w:tcPr>
            <w:tcW w:w="455" w:type="pct"/>
            <w:vAlign w:val="center"/>
          </w:tcPr>
          <w:p>
            <w:pPr>
              <w:pStyle w:val="21"/>
              <w:adjustRightInd/>
              <w:jc w:val="center"/>
              <w:rPr>
                <w:rFonts w:hint="eastAsia" w:hAnsi="宋体"/>
              </w:rPr>
            </w:pPr>
            <w:r>
              <w:rPr>
                <w:rFonts w:hint="eastAsia" w:hAnsi="宋体"/>
              </w:rPr>
              <w:t>0</w:t>
            </w:r>
          </w:p>
        </w:tc>
        <w:tc>
          <w:tcPr>
            <w:tcW w:w="877" w:type="pct"/>
            <w:vAlign w:val="center"/>
          </w:tcPr>
          <w:p>
            <w:pPr>
              <w:pStyle w:val="21"/>
              <w:adjustRightInd/>
              <w:jc w:val="center"/>
              <w:rPr>
                <w:rFonts w:hint="eastAsia" w:hAnsi="宋体"/>
              </w:rPr>
            </w:pPr>
            <w:r>
              <w:rPr>
                <w:rFonts w:hint="eastAsia" w:hAnsi="宋体"/>
              </w:rPr>
              <w:t>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Align w:val="center"/>
          </w:tcPr>
          <w:p>
            <w:pPr>
              <w:pStyle w:val="21"/>
              <w:adjustRightInd/>
              <w:jc w:val="center"/>
              <w:rPr>
                <w:rFonts w:hAnsi="宋体"/>
              </w:rPr>
            </w:pPr>
            <w:r>
              <w:rPr>
                <w:rFonts w:hint="eastAsia" w:hAnsi="宋体"/>
              </w:rPr>
              <w:t>中小股东表决情况</w:t>
            </w:r>
          </w:p>
        </w:tc>
        <w:tc>
          <w:tcPr>
            <w:tcW w:w="708" w:type="pct"/>
            <w:vAlign w:val="center"/>
          </w:tcPr>
          <w:p>
            <w:pPr>
              <w:pStyle w:val="21"/>
              <w:adjustRightInd/>
              <w:jc w:val="center"/>
              <w:rPr>
                <w:rFonts w:hint="eastAsia" w:hAnsi="宋体"/>
              </w:rPr>
            </w:pPr>
            <w:r>
              <w:rPr>
                <w:rFonts w:hint="eastAsia"/>
                <w:b w:val="0"/>
                <w:sz w:val="24"/>
                <w:lang w:eastAsia="zh-CN"/>
              </w:rPr>
              <w:t>66,444</w:t>
            </w:r>
          </w:p>
        </w:tc>
        <w:tc>
          <w:tcPr>
            <w:tcW w:w="884" w:type="pct"/>
            <w:vAlign w:val="center"/>
          </w:tcPr>
          <w:p>
            <w:pPr>
              <w:pStyle w:val="21"/>
              <w:adjustRightInd/>
              <w:jc w:val="center"/>
              <w:rPr>
                <w:rFonts w:hint="eastAsia" w:hAnsi="宋体"/>
              </w:rPr>
            </w:pPr>
            <w:r>
              <w:rPr>
                <w:rFonts w:hint="eastAsia"/>
                <w:b w:val="0"/>
                <w:sz w:val="24"/>
                <w:lang w:eastAsia="zh-CN"/>
              </w:rPr>
              <w:t>55.4421</w:t>
            </w:r>
          </w:p>
        </w:tc>
        <w:tc>
          <w:tcPr>
            <w:tcW w:w="521" w:type="pct"/>
            <w:vAlign w:val="center"/>
          </w:tcPr>
          <w:p>
            <w:pPr>
              <w:pStyle w:val="21"/>
              <w:adjustRightInd/>
              <w:jc w:val="center"/>
              <w:rPr>
                <w:rFonts w:hint="eastAsia" w:hAnsi="宋体"/>
              </w:rPr>
            </w:pPr>
            <w:r>
              <w:rPr>
                <w:rFonts w:hint="eastAsia"/>
                <w:b w:val="0"/>
                <w:sz w:val="24"/>
                <w:lang w:eastAsia="zh-CN"/>
              </w:rPr>
              <w:t>53,400</w:t>
            </w:r>
          </w:p>
        </w:tc>
        <w:tc>
          <w:tcPr>
            <w:tcW w:w="878" w:type="pct"/>
            <w:vAlign w:val="center"/>
          </w:tcPr>
          <w:p>
            <w:pPr>
              <w:pStyle w:val="21"/>
              <w:adjustRightInd/>
              <w:jc w:val="center"/>
              <w:rPr>
                <w:rFonts w:hint="eastAsia" w:hAnsi="宋体"/>
              </w:rPr>
            </w:pPr>
            <w:r>
              <w:rPr>
                <w:rFonts w:hint="eastAsia"/>
                <w:b w:val="0"/>
                <w:sz w:val="24"/>
                <w:lang w:eastAsia="zh-CN"/>
              </w:rPr>
              <w:t>44.5579</w:t>
            </w:r>
          </w:p>
        </w:tc>
        <w:tc>
          <w:tcPr>
            <w:tcW w:w="455" w:type="pct"/>
            <w:vAlign w:val="center"/>
          </w:tcPr>
          <w:p>
            <w:pPr>
              <w:pStyle w:val="21"/>
              <w:adjustRightInd/>
              <w:jc w:val="center"/>
              <w:rPr>
                <w:rFonts w:hint="eastAsia" w:hAnsi="宋体"/>
                <w:lang w:val="en-US" w:eastAsia="zh-CN"/>
              </w:rPr>
            </w:pPr>
            <w:r>
              <w:rPr>
                <w:rFonts w:hint="eastAsia" w:hAnsi="宋体"/>
                <w:lang w:val="en-US" w:eastAsia="zh-CN"/>
              </w:rPr>
              <w:t>0</w:t>
            </w:r>
          </w:p>
        </w:tc>
        <w:tc>
          <w:tcPr>
            <w:tcW w:w="877" w:type="pct"/>
            <w:vAlign w:val="center"/>
          </w:tcPr>
          <w:p>
            <w:pPr>
              <w:pStyle w:val="21"/>
              <w:adjustRightInd/>
              <w:jc w:val="center"/>
              <w:rPr>
                <w:rFonts w:hint="eastAsia" w:hAnsi="宋体"/>
                <w:lang w:val="en-US" w:eastAsia="zh-CN"/>
              </w:rPr>
            </w:pPr>
            <w:r>
              <w:rPr>
                <w:rFonts w:hint="eastAsia" w:hAnsi="宋体"/>
                <w:lang w:val="en-US" w:eastAsia="zh-CN"/>
              </w:rPr>
              <w:t>0</w:t>
            </w:r>
          </w:p>
        </w:tc>
      </w:tr>
    </w:tbl>
    <w:p>
      <w:pPr>
        <w:pStyle w:val="21"/>
        <w:keepNext w:val="0"/>
        <w:keepLines w:val="0"/>
        <w:pageBreakBefore w:val="0"/>
        <w:widowControl w:val="0"/>
        <w:kinsoku/>
        <w:wordWrap/>
        <w:overflowPunct/>
        <w:topLinePunct w:val="0"/>
        <w:autoSpaceDE w:val="0"/>
        <w:autoSpaceDN w:val="0"/>
        <w:bidi w:val="0"/>
        <w:adjustRightInd w:val="0"/>
        <w:snapToGrid w:val="0"/>
        <w:spacing w:before="192" w:beforeLines="50" w:line="360" w:lineRule="auto"/>
        <w:ind w:firstLine="482" w:firstLineChars="200"/>
        <w:textAlignment w:val="auto"/>
        <w:rPr>
          <w:rFonts w:hAnsi="宋体"/>
          <w:b/>
        </w:rPr>
      </w:pPr>
      <w:r>
        <w:rPr>
          <w:rFonts w:hint="eastAsia" w:hAnsi="宋体"/>
          <w:b/>
          <w:lang w:val="en-US" w:eastAsia="zh-CN"/>
        </w:rPr>
        <w:t>三</w:t>
      </w:r>
      <w:r>
        <w:rPr>
          <w:rFonts w:hint="eastAsia" w:hAnsi="宋体"/>
          <w:b/>
        </w:rPr>
        <w:t>、律师出具的法律意见</w:t>
      </w:r>
    </w:p>
    <w:p>
      <w:pPr>
        <w:pStyle w:val="21"/>
        <w:snapToGrid w:val="0"/>
        <w:spacing w:line="360" w:lineRule="auto"/>
        <w:ind w:firstLine="480" w:firstLineChars="200"/>
        <w:jc w:val="both"/>
        <w:rPr>
          <w:rFonts w:hAnsi="宋体"/>
        </w:rPr>
      </w:pPr>
      <w:r>
        <w:rPr>
          <w:rFonts w:hint="eastAsia" w:hAnsi="宋体"/>
        </w:rPr>
        <w:t>（一）律师事务所名称：君合律师事务所上海分所；</w:t>
      </w:r>
    </w:p>
    <w:p>
      <w:pPr>
        <w:pStyle w:val="21"/>
        <w:snapToGrid w:val="0"/>
        <w:spacing w:line="360" w:lineRule="auto"/>
        <w:ind w:firstLine="480" w:firstLineChars="200"/>
        <w:jc w:val="both"/>
        <w:rPr>
          <w:rFonts w:hAnsi="宋体"/>
        </w:rPr>
      </w:pPr>
      <w:r>
        <w:rPr>
          <w:rFonts w:hint="eastAsia" w:hAnsi="宋体"/>
        </w:rPr>
        <w:t>（二）</w:t>
      </w:r>
      <w:r>
        <w:rPr>
          <w:rFonts w:hint="eastAsia" w:hAnsi="宋体"/>
          <w:color w:val="auto"/>
        </w:rPr>
        <w:t>律师名称：</w:t>
      </w:r>
      <w:r>
        <w:rPr>
          <w:rFonts w:hint="eastAsia" w:hAnsi="宋体"/>
        </w:rPr>
        <w:t>周芙蓉</w:t>
      </w:r>
      <w:r>
        <w:rPr>
          <w:rFonts w:hint="eastAsia" w:hAnsi="宋体"/>
          <w:lang w:eastAsia="zh-CN"/>
        </w:rPr>
        <w:t>、</w:t>
      </w:r>
      <w:r>
        <w:rPr>
          <w:rFonts w:hint="eastAsia" w:hAnsi="宋体"/>
          <w:lang w:val="en-US" w:eastAsia="zh-CN"/>
        </w:rPr>
        <w:t>汤亦炜</w:t>
      </w:r>
      <w:r>
        <w:rPr>
          <w:rFonts w:hint="eastAsia" w:hAnsi="宋体"/>
          <w:lang w:eastAsia="zh-CN"/>
        </w:rPr>
        <w:t>；</w:t>
      </w:r>
    </w:p>
    <w:p>
      <w:pPr>
        <w:pStyle w:val="21"/>
        <w:snapToGrid w:val="0"/>
        <w:spacing w:line="360" w:lineRule="auto"/>
        <w:ind w:firstLine="480" w:firstLineChars="200"/>
        <w:jc w:val="both"/>
        <w:rPr>
          <w:rFonts w:hAnsi="宋体"/>
        </w:rPr>
      </w:pPr>
      <w:r>
        <w:rPr>
          <w:rFonts w:hint="eastAsia" w:hAnsi="宋体"/>
        </w:rPr>
        <w:t>（三）结论性意见：综上，本所律师认为，公司本次股东大会的召集和召开程序符合法律、法规及《公司章程》的有关规定；出席会议的人员资格、召集人资格、会议的表决程序以及表决结果合法有效。</w:t>
      </w:r>
    </w:p>
    <w:p>
      <w:pPr>
        <w:pStyle w:val="21"/>
        <w:snapToGrid w:val="0"/>
        <w:spacing w:line="360" w:lineRule="auto"/>
        <w:ind w:firstLine="482" w:firstLineChars="200"/>
        <w:rPr>
          <w:rFonts w:hAnsi="宋体"/>
          <w:b/>
        </w:rPr>
      </w:pPr>
      <w:r>
        <w:rPr>
          <w:rFonts w:hint="eastAsia" w:hAnsi="宋体"/>
          <w:b/>
          <w:lang w:val="en-US" w:eastAsia="zh-CN"/>
        </w:rPr>
        <w:t>四</w:t>
      </w:r>
      <w:r>
        <w:rPr>
          <w:rFonts w:hint="eastAsia" w:hAnsi="宋体"/>
          <w:b/>
        </w:rPr>
        <w:t>、备查文件</w:t>
      </w:r>
    </w:p>
    <w:p>
      <w:pPr>
        <w:pStyle w:val="21"/>
        <w:snapToGrid w:val="0"/>
        <w:spacing w:line="360" w:lineRule="auto"/>
        <w:ind w:firstLine="480" w:firstLineChars="200"/>
        <w:jc w:val="both"/>
        <w:rPr>
          <w:rFonts w:hAnsi="宋体"/>
        </w:rPr>
      </w:pPr>
      <w:r>
        <w:rPr>
          <w:rFonts w:hint="eastAsia" w:hAnsi="宋体"/>
        </w:rPr>
        <w:t>（一）</w:t>
      </w:r>
      <w:r>
        <w:rPr>
          <w:rFonts w:hAnsi="宋体"/>
        </w:rPr>
        <w:t>公司</w:t>
      </w:r>
      <w:r>
        <w:rPr>
          <w:rFonts w:hint="eastAsia" w:hAnsi="宋体"/>
          <w:lang w:eastAsia="zh-CN"/>
        </w:rPr>
        <w:t>2023年第二次临时股东大会</w:t>
      </w:r>
      <w:r>
        <w:rPr>
          <w:rFonts w:hAnsi="宋体"/>
        </w:rPr>
        <w:t>决议；</w:t>
      </w:r>
    </w:p>
    <w:p>
      <w:pPr>
        <w:pStyle w:val="21"/>
        <w:snapToGrid w:val="0"/>
        <w:spacing w:line="360" w:lineRule="auto"/>
        <w:ind w:firstLine="480" w:firstLineChars="200"/>
        <w:jc w:val="both"/>
        <w:rPr>
          <w:rFonts w:hAnsi="宋体"/>
        </w:rPr>
      </w:pPr>
      <w:r>
        <w:rPr>
          <w:rFonts w:hint="eastAsia" w:hAnsi="宋体"/>
        </w:rPr>
        <w:t>（二）君合律师事务所上海分所关于三湘印象股份有限公司</w:t>
      </w:r>
      <w:r>
        <w:rPr>
          <w:rFonts w:hint="eastAsia" w:hAnsi="宋体"/>
          <w:lang w:eastAsia="zh-CN"/>
        </w:rPr>
        <w:t>2023年第二次临时股东大会</w:t>
      </w:r>
      <w:r>
        <w:rPr>
          <w:rFonts w:hint="eastAsia" w:hAnsi="宋体"/>
        </w:rPr>
        <w:t>的</w:t>
      </w:r>
      <w:r>
        <w:rPr>
          <w:rFonts w:hAnsi="宋体"/>
        </w:rPr>
        <w:t>法律意见书</w:t>
      </w:r>
      <w:r>
        <w:rPr>
          <w:rFonts w:hint="eastAsia" w:hAnsi="宋体"/>
        </w:rPr>
        <w:t>。</w:t>
      </w:r>
    </w:p>
    <w:p>
      <w:pPr>
        <w:pStyle w:val="21"/>
        <w:snapToGrid w:val="0"/>
        <w:spacing w:before="190" w:beforeLines="50" w:line="360" w:lineRule="auto"/>
        <w:ind w:firstLine="480" w:firstLineChars="200"/>
        <w:jc w:val="both"/>
      </w:pPr>
      <w:r>
        <w:rPr>
          <w:rFonts w:hint="eastAsia"/>
        </w:rPr>
        <w:t>特此公告。</w:t>
      </w:r>
    </w:p>
    <w:p>
      <w:pPr>
        <w:pStyle w:val="21"/>
        <w:adjustRightInd/>
        <w:snapToGrid w:val="0"/>
        <w:spacing w:line="360" w:lineRule="auto"/>
        <w:ind w:firstLine="564" w:firstLineChars="235"/>
      </w:pPr>
    </w:p>
    <w:p>
      <w:pPr>
        <w:pStyle w:val="5"/>
        <w:snapToGrid w:val="0"/>
        <w:spacing w:line="360" w:lineRule="auto"/>
        <w:ind w:left="7477" w:leftChars="1797" w:right="32" w:hanging="2445" w:hangingChars="1019"/>
        <w:jc w:val="right"/>
        <w:rPr>
          <w:rFonts w:ascii="宋体" w:hAnsi="宋体"/>
          <w:color w:val="000000"/>
          <w:kern w:val="2"/>
          <w:sz w:val="24"/>
          <w:szCs w:val="24"/>
        </w:rPr>
      </w:pPr>
      <w:r>
        <w:rPr>
          <w:rFonts w:ascii="宋体" w:hAnsi="宋体"/>
          <w:color w:val="000000"/>
          <w:kern w:val="2"/>
          <w:sz w:val="24"/>
          <w:szCs w:val="24"/>
        </w:rPr>
        <w:t>三湘</w:t>
      </w:r>
      <w:r>
        <w:rPr>
          <w:rFonts w:hint="eastAsia" w:ascii="宋体" w:hAnsi="宋体"/>
          <w:color w:val="000000"/>
          <w:kern w:val="2"/>
          <w:sz w:val="24"/>
          <w:szCs w:val="24"/>
        </w:rPr>
        <w:t>印象</w:t>
      </w:r>
      <w:r>
        <w:rPr>
          <w:rFonts w:ascii="宋体" w:hAnsi="宋体"/>
          <w:color w:val="000000"/>
          <w:kern w:val="2"/>
          <w:sz w:val="24"/>
          <w:szCs w:val="24"/>
        </w:rPr>
        <w:t>股份有限公司董事会</w:t>
      </w:r>
    </w:p>
    <w:p>
      <w:pPr>
        <w:snapToGrid w:val="0"/>
        <w:spacing w:line="360" w:lineRule="auto"/>
        <w:ind w:firstLine="5640" w:firstLineChars="2350"/>
        <w:jc w:val="right"/>
        <w:rPr>
          <w:b/>
          <w:color w:val="000000"/>
          <w:sz w:val="24"/>
          <w:shd w:val="clear" w:color="auto" w:fill="FFFFFF"/>
        </w:rPr>
      </w:pPr>
      <w:r>
        <w:rPr>
          <w:rFonts w:hint="eastAsia"/>
          <w:color w:val="000000"/>
          <w:sz w:val="24"/>
        </w:rPr>
        <w:t>202</w:t>
      </w:r>
      <w:r>
        <w:rPr>
          <w:rFonts w:hint="eastAsia"/>
          <w:color w:val="000000"/>
          <w:sz w:val="24"/>
          <w:lang w:val="en-US" w:eastAsia="zh-CN"/>
        </w:rPr>
        <w:t>3</w:t>
      </w:r>
      <w:r>
        <w:rPr>
          <w:color w:val="000000"/>
          <w:sz w:val="24"/>
        </w:rPr>
        <w:t>年</w:t>
      </w:r>
      <w:r>
        <w:rPr>
          <w:rFonts w:hint="eastAsia"/>
          <w:color w:val="000000"/>
          <w:sz w:val="24"/>
          <w:lang w:val="en-US" w:eastAsia="zh-CN"/>
        </w:rPr>
        <w:t>9</w:t>
      </w:r>
      <w:r>
        <w:rPr>
          <w:color w:val="000000"/>
          <w:sz w:val="24"/>
        </w:rPr>
        <w:t>月</w:t>
      </w:r>
      <w:r>
        <w:rPr>
          <w:rFonts w:hint="eastAsia"/>
          <w:color w:val="000000"/>
          <w:sz w:val="24"/>
          <w:lang w:val="en-US" w:eastAsia="zh-CN"/>
        </w:rPr>
        <w:t>16</w:t>
      </w:r>
      <w:r>
        <w:rPr>
          <w:color w:val="000000"/>
          <w:sz w:val="24"/>
        </w:rPr>
        <w:t>日</w:t>
      </w:r>
    </w:p>
    <w:sectPr>
      <w:headerReference r:id="rId3" w:type="default"/>
      <w:footerReference r:id="rId4" w:type="default"/>
      <w:pgSz w:w="11906" w:h="16838"/>
      <w:pgMar w:top="1440" w:right="1474" w:bottom="1440" w:left="1474"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791549"/>
      <w:docPartObj>
        <w:docPartGallery w:val="autotext"/>
      </w:docPartObj>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456C4"/>
    <w:rsid w:val="00001F88"/>
    <w:rsid w:val="00002A2D"/>
    <w:rsid w:val="0000477A"/>
    <w:rsid w:val="000065DA"/>
    <w:rsid w:val="00007E99"/>
    <w:rsid w:val="0001109D"/>
    <w:rsid w:val="0001218B"/>
    <w:rsid w:val="00014F62"/>
    <w:rsid w:val="000229A9"/>
    <w:rsid w:val="00022A69"/>
    <w:rsid w:val="00022C76"/>
    <w:rsid w:val="00026EEB"/>
    <w:rsid w:val="00027F37"/>
    <w:rsid w:val="0003028A"/>
    <w:rsid w:val="000308E0"/>
    <w:rsid w:val="0003136C"/>
    <w:rsid w:val="000322DA"/>
    <w:rsid w:val="00033A5E"/>
    <w:rsid w:val="00036E8C"/>
    <w:rsid w:val="00042008"/>
    <w:rsid w:val="0004355F"/>
    <w:rsid w:val="00044F94"/>
    <w:rsid w:val="000470A9"/>
    <w:rsid w:val="0004721C"/>
    <w:rsid w:val="00050C4C"/>
    <w:rsid w:val="00053AE8"/>
    <w:rsid w:val="00057709"/>
    <w:rsid w:val="00060271"/>
    <w:rsid w:val="00061618"/>
    <w:rsid w:val="00064B17"/>
    <w:rsid w:val="000660ED"/>
    <w:rsid w:val="00066BEB"/>
    <w:rsid w:val="00066F91"/>
    <w:rsid w:val="00071D3A"/>
    <w:rsid w:val="00075D75"/>
    <w:rsid w:val="000830C0"/>
    <w:rsid w:val="00083DAE"/>
    <w:rsid w:val="000877B6"/>
    <w:rsid w:val="00092765"/>
    <w:rsid w:val="00093454"/>
    <w:rsid w:val="00094BBF"/>
    <w:rsid w:val="0009547F"/>
    <w:rsid w:val="000962CC"/>
    <w:rsid w:val="000A156D"/>
    <w:rsid w:val="000A323B"/>
    <w:rsid w:val="000A61C0"/>
    <w:rsid w:val="000A67A3"/>
    <w:rsid w:val="000B25E6"/>
    <w:rsid w:val="000B3838"/>
    <w:rsid w:val="000B3E13"/>
    <w:rsid w:val="000B54C1"/>
    <w:rsid w:val="000B786E"/>
    <w:rsid w:val="000B7D76"/>
    <w:rsid w:val="000C11CD"/>
    <w:rsid w:val="000C55EB"/>
    <w:rsid w:val="000C6621"/>
    <w:rsid w:val="000C67F3"/>
    <w:rsid w:val="000C6FF7"/>
    <w:rsid w:val="000D2658"/>
    <w:rsid w:val="000D40F7"/>
    <w:rsid w:val="000E1507"/>
    <w:rsid w:val="000E3CA0"/>
    <w:rsid w:val="000E3ED2"/>
    <w:rsid w:val="000E492D"/>
    <w:rsid w:val="000E5194"/>
    <w:rsid w:val="000E532A"/>
    <w:rsid w:val="000F0DEA"/>
    <w:rsid w:val="000F140E"/>
    <w:rsid w:val="000F16D9"/>
    <w:rsid w:val="000F52AD"/>
    <w:rsid w:val="000F721A"/>
    <w:rsid w:val="000F7F4A"/>
    <w:rsid w:val="00100972"/>
    <w:rsid w:val="001042E3"/>
    <w:rsid w:val="001044E2"/>
    <w:rsid w:val="001049D1"/>
    <w:rsid w:val="001058A5"/>
    <w:rsid w:val="00106609"/>
    <w:rsid w:val="00107595"/>
    <w:rsid w:val="00110463"/>
    <w:rsid w:val="00111C16"/>
    <w:rsid w:val="00111D73"/>
    <w:rsid w:val="00112032"/>
    <w:rsid w:val="001154CF"/>
    <w:rsid w:val="0011624B"/>
    <w:rsid w:val="001207E6"/>
    <w:rsid w:val="001215F3"/>
    <w:rsid w:val="0012254D"/>
    <w:rsid w:val="00122619"/>
    <w:rsid w:val="00122BD6"/>
    <w:rsid w:val="00126BEB"/>
    <w:rsid w:val="00130E5E"/>
    <w:rsid w:val="001357C1"/>
    <w:rsid w:val="001378D2"/>
    <w:rsid w:val="00142A37"/>
    <w:rsid w:val="00143BF9"/>
    <w:rsid w:val="00143F8C"/>
    <w:rsid w:val="0014471E"/>
    <w:rsid w:val="00150408"/>
    <w:rsid w:val="0015337C"/>
    <w:rsid w:val="00153AA9"/>
    <w:rsid w:val="00156D05"/>
    <w:rsid w:val="00157101"/>
    <w:rsid w:val="00160527"/>
    <w:rsid w:val="00161806"/>
    <w:rsid w:val="0016232E"/>
    <w:rsid w:val="00162DF7"/>
    <w:rsid w:val="00165480"/>
    <w:rsid w:val="00165FEB"/>
    <w:rsid w:val="0017275A"/>
    <w:rsid w:val="00172F1F"/>
    <w:rsid w:val="0017680B"/>
    <w:rsid w:val="00182FA3"/>
    <w:rsid w:val="00184614"/>
    <w:rsid w:val="00190286"/>
    <w:rsid w:val="00190BA5"/>
    <w:rsid w:val="00190D57"/>
    <w:rsid w:val="0019565B"/>
    <w:rsid w:val="00197ECA"/>
    <w:rsid w:val="001A0975"/>
    <w:rsid w:val="001A57C4"/>
    <w:rsid w:val="001B1DC4"/>
    <w:rsid w:val="001B3BC3"/>
    <w:rsid w:val="001B5E98"/>
    <w:rsid w:val="001C0CF4"/>
    <w:rsid w:val="001C244A"/>
    <w:rsid w:val="001C2DEA"/>
    <w:rsid w:val="001C32EE"/>
    <w:rsid w:val="001C41EB"/>
    <w:rsid w:val="001C5703"/>
    <w:rsid w:val="001C751F"/>
    <w:rsid w:val="001C7798"/>
    <w:rsid w:val="001D2897"/>
    <w:rsid w:val="001D501C"/>
    <w:rsid w:val="001D7F25"/>
    <w:rsid w:val="001E0267"/>
    <w:rsid w:val="001E202B"/>
    <w:rsid w:val="001E23DE"/>
    <w:rsid w:val="001E23E6"/>
    <w:rsid w:val="001E2ADE"/>
    <w:rsid w:val="001E2BF8"/>
    <w:rsid w:val="001E4609"/>
    <w:rsid w:val="001F2D73"/>
    <w:rsid w:val="001F2FCA"/>
    <w:rsid w:val="001F3389"/>
    <w:rsid w:val="001F7CF5"/>
    <w:rsid w:val="0020551D"/>
    <w:rsid w:val="00206D43"/>
    <w:rsid w:val="0021004E"/>
    <w:rsid w:val="002115E7"/>
    <w:rsid w:val="0021289C"/>
    <w:rsid w:val="002134B2"/>
    <w:rsid w:val="0021580D"/>
    <w:rsid w:val="0021630F"/>
    <w:rsid w:val="00216B4D"/>
    <w:rsid w:val="00220A74"/>
    <w:rsid w:val="00220B3D"/>
    <w:rsid w:val="0022263F"/>
    <w:rsid w:val="00223401"/>
    <w:rsid w:val="00225C3A"/>
    <w:rsid w:val="00227707"/>
    <w:rsid w:val="00227BAD"/>
    <w:rsid w:val="002302FB"/>
    <w:rsid w:val="002318C1"/>
    <w:rsid w:val="00231CD5"/>
    <w:rsid w:val="0023220C"/>
    <w:rsid w:val="00240336"/>
    <w:rsid w:val="00242A41"/>
    <w:rsid w:val="002508EC"/>
    <w:rsid w:val="002519CC"/>
    <w:rsid w:val="0025200D"/>
    <w:rsid w:val="00252E2C"/>
    <w:rsid w:val="0025537E"/>
    <w:rsid w:val="00255833"/>
    <w:rsid w:val="002560CE"/>
    <w:rsid w:val="0025610B"/>
    <w:rsid w:val="0026075D"/>
    <w:rsid w:val="00260902"/>
    <w:rsid w:val="002619A3"/>
    <w:rsid w:val="00263D25"/>
    <w:rsid w:val="0026494C"/>
    <w:rsid w:val="0027399C"/>
    <w:rsid w:val="0027692E"/>
    <w:rsid w:val="00277B9D"/>
    <w:rsid w:val="00281D7F"/>
    <w:rsid w:val="00283596"/>
    <w:rsid w:val="002871E8"/>
    <w:rsid w:val="002900D7"/>
    <w:rsid w:val="0029049D"/>
    <w:rsid w:val="0029584D"/>
    <w:rsid w:val="002A10D2"/>
    <w:rsid w:val="002A12F2"/>
    <w:rsid w:val="002A3C2A"/>
    <w:rsid w:val="002A46A2"/>
    <w:rsid w:val="002A4761"/>
    <w:rsid w:val="002A6393"/>
    <w:rsid w:val="002B0C2A"/>
    <w:rsid w:val="002B11AD"/>
    <w:rsid w:val="002B3E9A"/>
    <w:rsid w:val="002B4068"/>
    <w:rsid w:val="002B4BDC"/>
    <w:rsid w:val="002C3280"/>
    <w:rsid w:val="002C395B"/>
    <w:rsid w:val="002C4E03"/>
    <w:rsid w:val="002C58DC"/>
    <w:rsid w:val="002D3741"/>
    <w:rsid w:val="002D3EBE"/>
    <w:rsid w:val="002D534E"/>
    <w:rsid w:val="002E2856"/>
    <w:rsid w:val="002E4545"/>
    <w:rsid w:val="002F0FED"/>
    <w:rsid w:val="002F26B5"/>
    <w:rsid w:val="002F3707"/>
    <w:rsid w:val="002F6571"/>
    <w:rsid w:val="002F690C"/>
    <w:rsid w:val="002F7F00"/>
    <w:rsid w:val="003019CD"/>
    <w:rsid w:val="00302ECC"/>
    <w:rsid w:val="00304F80"/>
    <w:rsid w:val="00305D2D"/>
    <w:rsid w:val="00310717"/>
    <w:rsid w:val="00311C99"/>
    <w:rsid w:val="00315481"/>
    <w:rsid w:val="0031750F"/>
    <w:rsid w:val="0031767C"/>
    <w:rsid w:val="00320291"/>
    <w:rsid w:val="00320B4B"/>
    <w:rsid w:val="00323049"/>
    <w:rsid w:val="00323A11"/>
    <w:rsid w:val="00323A37"/>
    <w:rsid w:val="003273CE"/>
    <w:rsid w:val="0033297B"/>
    <w:rsid w:val="003352D0"/>
    <w:rsid w:val="00335E63"/>
    <w:rsid w:val="00336943"/>
    <w:rsid w:val="003409D1"/>
    <w:rsid w:val="00342F0B"/>
    <w:rsid w:val="00346A9A"/>
    <w:rsid w:val="00350E76"/>
    <w:rsid w:val="00351CC6"/>
    <w:rsid w:val="00352E90"/>
    <w:rsid w:val="00361E3E"/>
    <w:rsid w:val="00361E9E"/>
    <w:rsid w:val="0036281D"/>
    <w:rsid w:val="00363DF7"/>
    <w:rsid w:val="00364F61"/>
    <w:rsid w:val="00371EC7"/>
    <w:rsid w:val="00373D45"/>
    <w:rsid w:val="00377356"/>
    <w:rsid w:val="0038114E"/>
    <w:rsid w:val="00383196"/>
    <w:rsid w:val="00386359"/>
    <w:rsid w:val="0038749D"/>
    <w:rsid w:val="00387CFC"/>
    <w:rsid w:val="0039017D"/>
    <w:rsid w:val="00394C21"/>
    <w:rsid w:val="00395A62"/>
    <w:rsid w:val="003A254E"/>
    <w:rsid w:val="003A2E66"/>
    <w:rsid w:val="003A3ACF"/>
    <w:rsid w:val="003A51CD"/>
    <w:rsid w:val="003A57AA"/>
    <w:rsid w:val="003A7284"/>
    <w:rsid w:val="003B62CC"/>
    <w:rsid w:val="003B6EBE"/>
    <w:rsid w:val="003C506D"/>
    <w:rsid w:val="003C689C"/>
    <w:rsid w:val="003D1986"/>
    <w:rsid w:val="003D35D9"/>
    <w:rsid w:val="003D5B82"/>
    <w:rsid w:val="003D68E3"/>
    <w:rsid w:val="003D7480"/>
    <w:rsid w:val="003D7E75"/>
    <w:rsid w:val="003E302F"/>
    <w:rsid w:val="003E37C5"/>
    <w:rsid w:val="003E3BA2"/>
    <w:rsid w:val="003E4175"/>
    <w:rsid w:val="003E6ECE"/>
    <w:rsid w:val="003F1374"/>
    <w:rsid w:val="003F4368"/>
    <w:rsid w:val="003F616B"/>
    <w:rsid w:val="0040346D"/>
    <w:rsid w:val="00404FAA"/>
    <w:rsid w:val="004101F6"/>
    <w:rsid w:val="00410AC7"/>
    <w:rsid w:val="00410C6A"/>
    <w:rsid w:val="004116DB"/>
    <w:rsid w:val="004118AC"/>
    <w:rsid w:val="00415492"/>
    <w:rsid w:val="00422450"/>
    <w:rsid w:val="00423768"/>
    <w:rsid w:val="00426537"/>
    <w:rsid w:val="00426B52"/>
    <w:rsid w:val="00426E1D"/>
    <w:rsid w:val="00426F36"/>
    <w:rsid w:val="00427CB9"/>
    <w:rsid w:val="004343EC"/>
    <w:rsid w:val="004366D0"/>
    <w:rsid w:val="00440480"/>
    <w:rsid w:val="00440804"/>
    <w:rsid w:val="00441CCE"/>
    <w:rsid w:val="004422D7"/>
    <w:rsid w:val="004441E2"/>
    <w:rsid w:val="00445FAC"/>
    <w:rsid w:val="00447257"/>
    <w:rsid w:val="004512A8"/>
    <w:rsid w:val="00453B1C"/>
    <w:rsid w:val="004619DE"/>
    <w:rsid w:val="0046224F"/>
    <w:rsid w:val="004629BC"/>
    <w:rsid w:val="00462D82"/>
    <w:rsid w:val="004679D6"/>
    <w:rsid w:val="004738E7"/>
    <w:rsid w:val="00474B7E"/>
    <w:rsid w:val="00476460"/>
    <w:rsid w:val="004777F7"/>
    <w:rsid w:val="004857AF"/>
    <w:rsid w:val="00487CFB"/>
    <w:rsid w:val="00491441"/>
    <w:rsid w:val="00495495"/>
    <w:rsid w:val="004A12B7"/>
    <w:rsid w:val="004A2078"/>
    <w:rsid w:val="004A2CD7"/>
    <w:rsid w:val="004A4DF8"/>
    <w:rsid w:val="004A5113"/>
    <w:rsid w:val="004A67A6"/>
    <w:rsid w:val="004B1712"/>
    <w:rsid w:val="004B19C2"/>
    <w:rsid w:val="004B3349"/>
    <w:rsid w:val="004B4E56"/>
    <w:rsid w:val="004B5CA5"/>
    <w:rsid w:val="004C111F"/>
    <w:rsid w:val="004C3058"/>
    <w:rsid w:val="004C371D"/>
    <w:rsid w:val="004C6172"/>
    <w:rsid w:val="004D12E7"/>
    <w:rsid w:val="004D36D7"/>
    <w:rsid w:val="004D393B"/>
    <w:rsid w:val="004D43BD"/>
    <w:rsid w:val="004D47E5"/>
    <w:rsid w:val="004E654A"/>
    <w:rsid w:val="004F11FC"/>
    <w:rsid w:val="004F3430"/>
    <w:rsid w:val="004F5208"/>
    <w:rsid w:val="004F5B22"/>
    <w:rsid w:val="00502ACC"/>
    <w:rsid w:val="00503380"/>
    <w:rsid w:val="00505E4A"/>
    <w:rsid w:val="005127CD"/>
    <w:rsid w:val="00516F11"/>
    <w:rsid w:val="005170F0"/>
    <w:rsid w:val="0052142F"/>
    <w:rsid w:val="00524194"/>
    <w:rsid w:val="00525436"/>
    <w:rsid w:val="00532B3C"/>
    <w:rsid w:val="00533A3E"/>
    <w:rsid w:val="00533E17"/>
    <w:rsid w:val="00537419"/>
    <w:rsid w:val="005421EE"/>
    <w:rsid w:val="00544ACF"/>
    <w:rsid w:val="00544FD8"/>
    <w:rsid w:val="005466E0"/>
    <w:rsid w:val="005528F1"/>
    <w:rsid w:val="00557933"/>
    <w:rsid w:val="00562BFE"/>
    <w:rsid w:val="005634F1"/>
    <w:rsid w:val="0056357B"/>
    <w:rsid w:val="005651E4"/>
    <w:rsid w:val="00565CBB"/>
    <w:rsid w:val="00571B96"/>
    <w:rsid w:val="00575C52"/>
    <w:rsid w:val="0058107D"/>
    <w:rsid w:val="00581399"/>
    <w:rsid w:val="005826A2"/>
    <w:rsid w:val="0058461A"/>
    <w:rsid w:val="005878C9"/>
    <w:rsid w:val="00587B53"/>
    <w:rsid w:val="005901D2"/>
    <w:rsid w:val="00591F3D"/>
    <w:rsid w:val="0059203B"/>
    <w:rsid w:val="00592FDD"/>
    <w:rsid w:val="005970F8"/>
    <w:rsid w:val="005A4236"/>
    <w:rsid w:val="005A7FC6"/>
    <w:rsid w:val="005B03F8"/>
    <w:rsid w:val="005B08AA"/>
    <w:rsid w:val="005B1EC2"/>
    <w:rsid w:val="005B307C"/>
    <w:rsid w:val="005B5134"/>
    <w:rsid w:val="005B623E"/>
    <w:rsid w:val="005B6B05"/>
    <w:rsid w:val="005B7A8B"/>
    <w:rsid w:val="005B7D8E"/>
    <w:rsid w:val="005B7DC9"/>
    <w:rsid w:val="005C11D5"/>
    <w:rsid w:val="005C2C68"/>
    <w:rsid w:val="005C2E64"/>
    <w:rsid w:val="005C47EA"/>
    <w:rsid w:val="005C71A5"/>
    <w:rsid w:val="005C78FE"/>
    <w:rsid w:val="005D05B5"/>
    <w:rsid w:val="005D29A8"/>
    <w:rsid w:val="005E1CE6"/>
    <w:rsid w:val="005E1F0F"/>
    <w:rsid w:val="005E21DF"/>
    <w:rsid w:val="005E28BE"/>
    <w:rsid w:val="005E45A2"/>
    <w:rsid w:val="005E4756"/>
    <w:rsid w:val="005E74EF"/>
    <w:rsid w:val="0060096A"/>
    <w:rsid w:val="00602548"/>
    <w:rsid w:val="00602573"/>
    <w:rsid w:val="006031ED"/>
    <w:rsid w:val="00603790"/>
    <w:rsid w:val="00605083"/>
    <w:rsid w:val="006106BA"/>
    <w:rsid w:val="00611434"/>
    <w:rsid w:val="00611DC9"/>
    <w:rsid w:val="00612F82"/>
    <w:rsid w:val="00617864"/>
    <w:rsid w:val="00620FB0"/>
    <w:rsid w:val="00622890"/>
    <w:rsid w:val="006265B2"/>
    <w:rsid w:val="006271E4"/>
    <w:rsid w:val="006302B9"/>
    <w:rsid w:val="00632015"/>
    <w:rsid w:val="006346EC"/>
    <w:rsid w:val="006360B6"/>
    <w:rsid w:val="00636BAC"/>
    <w:rsid w:val="00642622"/>
    <w:rsid w:val="006426F4"/>
    <w:rsid w:val="006427D7"/>
    <w:rsid w:val="00650ADD"/>
    <w:rsid w:val="00650DE9"/>
    <w:rsid w:val="006516CC"/>
    <w:rsid w:val="0065395A"/>
    <w:rsid w:val="006612C3"/>
    <w:rsid w:val="00661D0E"/>
    <w:rsid w:val="00663089"/>
    <w:rsid w:val="00663D7E"/>
    <w:rsid w:val="006649E5"/>
    <w:rsid w:val="00666115"/>
    <w:rsid w:val="0067592D"/>
    <w:rsid w:val="0068193D"/>
    <w:rsid w:val="006833C2"/>
    <w:rsid w:val="00684ADF"/>
    <w:rsid w:val="00687C54"/>
    <w:rsid w:val="00694B04"/>
    <w:rsid w:val="006958F1"/>
    <w:rsid w:val="00695B18"/>
    <w:rsid w:val="006A1273"/>
    <w:rsid w:val="006A18B6"/>
    <w:rsid w:val="006A207E"/>
    <w:rsid w:val="006A3E8E"/>
    <w:rsid w:val="006A44F6"/>
    <w:rsid w:val="006A7663"/>
    <w:rsid w:val="006B2B65"/>
    <w:rsid w:val="006B636A"/>
    <w:rsid w:val="006C0BE7"/>
    <w:rsid w:val="006C29AB"/>
    <w:rsid w:val="006C35F4"/>
    <w:rsid w:val="006C58DA"/>
    <w:rsid w:val="006C6232"/>
    <w:rsid w:val="006D0BFB"/>
    <w:rsid w:val="006D136A"/>
    <w:rsid w:val="006D38E0"/>
    <w:rsid w:val="006D6050"/>
    <w:rsid w:val="006D71A2"/>
    <w:rsid w:val="006D7CE9"/>
    <w:rsid w:val="006D7E4E"/>
    <w:rsid w:val="006E00F6"/>
    <w:rsid w:val="006E04D2"/>
    <w:rsid w:val="006E11F0"/>
    <w:rsid w:val="006E1691"/>
    <w:rsid w:val="006E235D"/>
    <w:rsid w:val="006E3F00"/>
    <w:rsid w:val="006E4584"/>
    <w:rsid w:val="006E4642"/>
    <w:rsid w:val="006E4951"/>
    <w:rsid w:val="006E5872"/>
    <w:rsid w:val="006E5B50"/>
    <w:rsid w:val="006F13FD"/>
    <w:rsid w:val="006F3A04"/>
    <w:rsid w:val="00700BF3"/>
    <w:rsid w:val="00702461"/>
    <w:rsid w:val="00712B7C"/>
    <w:rsid w:val="0071593A"/>
    <w:rsid w:val="007178E7"/>
    <w:rsid w:val="00720326"/>
    <w:rsid w:val="007208E9"/>
    <w:rsid w:val="00722AE5"/>
    <w:rsid w:val="0072375C"/>
    <w:rsid w:val="007279C0"/>
    <w:rsid w:val="00727AB5"/>
    <w:rsid w:val="00730ADA"/>
    <w:rsid w:val="00732A03"/>
    <w:rsid w:val="007344D9"/>
    <w:rsid w:val="007355F3"/>
    <w:rsid w:val="00736989"/>
    <w:rsid w:val="00740B87"/>
    <w:rsid w:val="00741517"/>
    <w:rsid w:val="00742752"/>
    <w:rsid w:val="007427CB"/>
    <w:rsid w:val="00742B98"/>
    <w:rsid w:val="0074311E"/>
    <w:rsid w:val="00743D83"/>
    <w:rsid w:val="00745D9C"/>
    <w:rsid w:val="00746837"/>
    <w:rsid w:val="00746898"/>
    <w:rsid w:val="0075135A"/>
    <w:rsid w:val="00753463"/>
    <w:rsid w:val="00754FE9"/>
    <w:rsid w:val="0075724A"/>
    <w:rsid w:val="00761EDD"/>
    <w:rsid w:val="00763BE9"/>
    <w:rsid w:val="00765C4B"/>
    <w:rsid w:val="00766287"/>
    <w:rsid w:val="007702A4"/>
    <w:rsid w:val="00777121"/>
    <w:rsid w:val="0077796E"/>
    <w:rsid w:val="00781BAE"/>
    <w:rsid w:val="0078281F"/>
    <w:rsid w:val="00783188"/>
    <w:rsid w:val="007959CC"/>
    <w:rsid w:val="00797EAF"/>
    <w:rsid w:val="007A0BCE"/>
    <w:rsid w:val="007A36E1"/>
    <w:rsid w:val="007A4A8C"/>
    <w:rsid w:val="007A6A7D"/>
    <w:rsid w:val="007B136C"/>
    <w:rsid w:val="007B307E"/>
    <w:rsid w:val="007B3646"/>
    <w:rsid w:val="007C02BC"/>
    <w:rsid w:val="007C0ED6"/>
    <w:rsid w:val="007C12FD"/>
    <w:rsid w:val="007C1C8D"/>
    <w:rsid w:val="007C26A2"/>
    <w:rsid w:val="007C2C49"/>
    <w:rsid w:val="007C3CB0"/>
    <w:rsid w:val="007C534B"/>
    <w:rsid w:val="007C5CC2"/>
    <w:rsid w:val="007C6283"/>
    <w:rsid w:val="007D3069"/>
    <w:rsid w:val="007F0349"/>
    <w:rsid w:val="007F0EA5"/>
    <w:rsid w:val="007F16D0"/>
    <w:rsid w:val="007F3756"/>
    <w:rsid w:val="007F42E2"/>
    <w:rsid w:val="007F4BEF"/>
    <w:rsid w:val="007F54E1"/>
    <w:rsid w:val="007F59B4"/>
    <w:rsid w:val="007F65A5"/>
    <w:rsid w:val="007F742A"/>
    <w:rsid w:val="007F75D5"/>
    <w:rsid w:val="00804285"/>
    <w:rsid w:val="0081042D"/>
    <w:rsid w:val="008109EF"/>
    <w:rsid w:val="0081151E"/>
    <w:rsid w:val="00811B83"/>
    <w:rsid w:val="00816EE5"/>
    <w:rsid w:val="0082065C"/>
    <w:rsid w:val="008239C1"/>
    <w:rsid w:val="00825037"/>
    <w:rsid w:val="0082767D"/>
    <w:rsid w:val="00830076"/>
    <w:rsid w:val="00833DE2"/>
    <w:rsid w:val="00837D10"/>
    <w:rsid w:val="00840FBA"/>
    <w:rsid w:val="008428FA"/>
    <w:rsid w:val="00842CA8"/>
    <w:rsid w:val="008431B5"/>
    <w:rsid w:val="00843463"/>
    <w:rsid w:val="0084531B"/>
    <w:rsid w:val="0084703A"/>
    <w:rsid w:val="0084716A"/>
    <w:rsid w:val="008548A4"/>
    <w:rsid w:val="00854942"/>
    <w:rsid w:val="00854CDB"/>
    <w:rsid w:val="00855045"/>
    <w:rsid w:val="008568ED"/>
    <w:rsid w:val="00857AA3"/>
    <w:rsid w:val="00867A8C"/>
    <w:rsid w:val="00867F01"/>
    <w:rsid w:val="008701AF"/>
    <w:rsid w:val="00871A12"/>
    <w:rsid w:val="00871BA4"/>
    <w:rsid w:val="00871F9F"/>
    <w:rsid w:val="00872022"/>
    <w:rsid w:val="00873A3F"/>
    <w:rsid w:val="0087425C"/>
    <w:rsid w:val="00876EFC"/>
    <w:rsid w:val="00880C36"/>
    <w:rsid w:val="00881314"/>
    <w:rsid w:val="00883209"/>
    <w:rsid w:val="00883D43"/>
    <w:rsid w:val="00885FEA"/>
    <w:rsid w:val="00886565"/>
    <w:rsid w:val="0088666A"/>
    <w:rsid w:val="00886A85"/>
    <w:rsid w:val="00890EDB"/>
    <w:rsid w:val="00893505"/>
    <w:rsid w:val="00893734"/>
    <w:rsid w:val="00894E53"/>
    <w:rsid w:val="008957C4"/>
    <w:rsid w:val="00895B4E"/>
    <w:rsid w:val="008970B8"/>
    <w:rsid w:val="008A23EF"/>
    <w:rsid w:val="008A3AF8"/>
    <w:rsid w:val="008A3F0D"/>
    <w:rsid w:val="008A54DC"/>
    <w:rsid w:val="008A552D"/>
    <w:rsid w:val="008A58D6"/>
    <w:rsid w:val="008A72C1"/>
    <w:rsid w:val="008B64DE"/>
    <w:rsid w:val="008B7A9F"/>
    <w:rsid w:val="008C7C4A"/>
    <w:rsid w:val="008D1033"/>
    <w:rsid w:val="008D1955"/>
    <w:rsid w:val="008D2AAF"/>
    <w:rsid w:val="008D42C5"/>
    <w:rsid w:val="008D552A"/>
    <w:rsid w:val="008E00DE"/>
    <w:rsid w:val="008E1786"/>
    <w:rsid w:val="008E20FF"/>
    <w:rsid w:val="008E4690"/>
    <w:rsid w:val="008E5DB6"/>
    <w:rsid w:val="008F0032"/>
    <w:rsid w:val="008F1A37"/>
    <w:rsid w:val="008F2C82"/>
    <w:rsid w:val="008F36D2"/>
    <w:rsid w:val="00900216"/>
    <w:rsid w:val="00901111"/>
    <w:rsid w:val="0090232C"/>
    <w:rsid w:val="009025BD"/>
    <w:rsid w:val="009032CF"/>
    <w:rsid w:val="00903593"/>
    <w:rsid w:val="0091038C"/>
    <w:rsid w:val="009113D9"/>
    <w:rsid w:val="009130B5"/>
    <w:rsid w:val="00913293"/>
    <w:rsid w:val="00914564"/>
    <w:rsid w:val="00914882"/>
    <w:rsid w:val="0092028F"/>
    <w:rsid w:val="00922A2F"/>
    <w:rsid w:val="00923583"/>
    <w:rsid w:val="00924BFA"/>
    <w:rsid w:val="009251FF"/>
    <w:rsid w:val="00925B65"/>
    <w:rsid w:val="00926FB0"/>
    <w:rsid w:val="009306C3"/>
    <w:rsid w:val="00932305"/>
    <w:rsid w:val="0093499D"/>
    <w:rsid w:val="00937CF0"/>
    <w:rsid w:val="009417F5"/>
    <w:rsid w:val="00942982"/>
    <w:rsid w:val="00942992"/>
    <w:rsid w:val="00944C1E"/>
    <w:rsid w:val="00947C45"/>
    <w:rsid w:val="009556B9"/>
    <w:rsid w:val="00955797"/>
    <w:rsid w:val="00957233"/>
    <w:rsid w:val="009575C6"/>
    <w:rsid w:val="00957F10"/>
    <w:rsid w:val="009600C6"/>
    <w:rsid w:val="0096031D"/>
    <w:rsid w:val="0096193F"/>
    <w:rsid w:val="00963896"/>
    <w:rsid w:val="00964912"/>
    <w:rsid w:val="00964B35"/>
    <w:rsid w:val="00966E2B"/>
    <w:rsid w:val="009705B3"/>
    <w:rsid w:val="009706EF"/>
    <w:rsid w:val="00970E85"/>
    <w:rsid w:val="00971084"/>
    <w:rsid w:val="00977845"/>
    <w:rsid w:val="00990423"/>
    <w:rsid w:val="00993E32"/>
    <w:rsid w:val="0099701C"/>
    <w:rsid w:val="009A3469"/>
    <w:rsid w:val="009A466F"/>
    <w:rsid w:val="009A7AB1"/>
    <w:rsid w:val="009B0344"/>
    <w:rsid w:val="009B0CCF"/>
    <w:rsid w:val="009B157C"/>
    <w:rsid w:val="009B243C"/>
    <w:rsid w:val="009B76EC"/>
    <w:rsid w:val="009C325C"/>
    <w:rsid w:val="009C4E96"/>
    <w:rsid w:val="009C51A5"/>
    <w:rsid w:val="009D02D0"/>
    <w:rsid w:val="009D11C9"/>
    <w:rsid w:val="009D50B1"/>
    <w:rsid w:val="009E52CA"/>
    <w:rsid w:val="009F0E91"/>
    <w:rsid w:val="009F37D2"/>
    <w:rsid w:val="009F7046"/>
    <w:rsid w:val="00A02234"/>
    <w:rsid w:val="00A023D3"/>
    <w:rsid w:val="00A05788"/>
    <w:rsid w:val="00A05804"/>
    <w:rsid w:val="00A05CA7"/>
    <w:rsid w:val="00A062DC"/>
    <w:rsid w:val="00A077BC"/>
    <w:rsid w:val="00A129D4"/>
    <w:rsid w:val="00A149C0"/>
    <w:rsid w:val="00A14B8A"/>
    <w:rsid w:val="00A160E8"/>
    <w:rsid w:val="00A16B86"/>
    <w:rsid w:val="00A177D9"/>
    <w:rsid w:val="00A207CF"/>
    <w:rsid w:val="00A26ECD"/>
    <w:rsid w:val="00A304A5"/>
    <w:rsid w:val="00A32AB5"/>
    <w:rsid w:val="00A352B0"/>
    <w:rsid w:val="00A3565C"/>
    <w:rsid w:val="00A35FFB"/>
    <w:rsid w:val="00A36671"/>
    <w:rsid w:val="00A36D4A"/>
    <w:rsid w:val="00A37220"/>
    <w:rsid w:val="00A41AA4"/>
    <w:rsid w:val="00A41BE7"/>
    <w:rsid w:val="00A425D0"/>
    <w:rsid w:val="00A46BFF"/>
    <w:rsid w:val="00A50F81"/>
    <w:rsid w:val="00A50FEB"/>
    <w:rsid w:val="00A5410E"/>
    <w:rsid w:val="00A55247"/>
    <w:rsid w:val="00A574F4"/>
    <w:rsid w:val="00A60CC6"/>
    <w:rsid w:val="00A6352E"/>
    <w:rsid w:val="00A638E2"/>
    <w:rsid w:val="00A651DB"/>
    <w:rsid w:val="00A65F0B"/>
    <w:rsid w:val="00A70178"/>
    <w:rsid w:val="00A70373"/>
    <w:rsid w:val="00A75C23"/>
    <w:rsid w:val="00A764CD"/>
    <w:rsid w:val="00A766FA"/>
    <w:rsid w:val="00A80CAA"/>
    <w:rsid w:val="00A82E72"/>
    <w:rsid w:val="00A85675"/>
    <w:rsid w:val="00A85BE6"/>
    <w:rsid w:val="00A870FB"/>
    <w:rsid w:val="00A8758E"/>
    <w:rsid w:val="00A90544"/>
    <w:rsid w:val="00A938DA"/>
    <w:rsid w:val="00A93AB5"/>
    <w:rsid w:val="00A93FA2"/>
    <w:rsid w:val="00A96781"/>
    <w:rsid w:val="00A9777A"/>
    <w:rsid w:val="00A978C2"/>
    <w:rsid w:val="00AA21F9"/>
    <w:rsid w:val="00AA23C0"/>
    <w:rsid w:val="00AA23D8"/>
    <w:rsid w:val="00AA253E"/>
    <w:rsid w:val="00AA545E"/>
    <w:rsid w:val="00AA7861"/>
    <w:rsid w:val="00AB069E"/>
    <w:rsid w:val="00AB1782"/>
    <w:rsid w:val="00AB19E2"/>
    <w:rsid w:val="00AB1CEA"/>
    <w:rsid w:val="00AB1F17"/>
    <w:rsid w:val="00AB2A03"/>
    <w:rsid w:val="00AB476F"/>
    <w:rsid w:val="00AC05C5"/>
    <w:rsid w:val="00AC0A6C"/>
    <w:rsid w:val="00AC1468"/>
    <w:rsid w:val="00AC5166"/>
    <w:rsid w:val="00AC52C6"/>
    <w:rsid w:val="00AD02A4"/>
    <w:rsid w:val="00AD2696"/>
    <w:rsid w:val="00AD4C7C"/>
    <w:rsid w:val="00AE21FC"/>
    <w:rsid w:val="00AE2810"/>
    <w:rsid w:val="00AE309C"/>
    <w:rsid w:val="00AE543B"/>
    <w:rsid w:val="00AE600B"/>
    <w:rsid w:val="00AF57D4"/>
    <w:rsid w:val="00AF5DD2"/>
    <w:rsid w:val="00B0010F"/>
    <w:rsid w:val="00B01159"/>
    <w:rsid w:val="00B01192"/>
    <w:rsid w:val="00B03907"/>
    <w:rsid w:val="00B039E4"/>
    <w:rsid w:val="00B04238"/>
    <w:rsid w:val="00B06E10"/>
    <w:rsid w:val="00B0713D"/>
    <w:rsid w:val="00B0735C"/>
    <w:rsid w:val="00B117C8"/>
    <w:rsid w:val="00B140AC"/>
    <w:rsid w:val="00B22FDE"/>
    <w:rsid w:val="00B230FD"/>
    <w:rsid w:val="00B254D8"/>
    <w:rsid w:val="00B30BC4"/>
    <w:rsid w:val="00B33460"/>
    <w:rsid w:val="00B360A9"/>
    <w:rsid w:val="00B40566"/>
    <w:rsid w:val="00B43D49"/>
    <w:rsid w:val="00B47B06"/>
    <w:rsid w:val="00B510E5"/>
    <w:rsid w:val="00B52523"/>
    <w:rsid w:val="00B52C90"/>
    <w:rsid w:val="00B549C6"/>
    <w:rsid w:val="00B54E3F"/>
    <w:rsid w:val="00B560DF"/>
    <w:rsid w:val="00B561D3"/>
    <w:rsid w:val="00B6005B"/>
    <w:rsid w:val="00B60C8B"/>
    <w:rsid w:val="00B614B3"/>
    <w:rsid w:val="00B61592"/>
    <w:rsid w:val="00B64266"/>
    <w:rsid w:val="00B64D0F"/>
    <w:rsid w:val="00B654D2"/>
    <w:rsid w:val="00B67955"/>
    <w:rsid w:val="00B73026"/>
    <w:rsid w:val="00B7566A"/>
    <w:rsid w:val="00B828B9"/>
    <w:rsid w:val="00B872B7"/>
    <w:rsid w:val="00B97E4D"/>
    <w:rsid w:val="00BA0E35"/>
    <w:rsid w:val="00BA1DA9"/>
    <w:rsid w:val="00BA1DE9"/>
    <w:rsid w:val="00BA2504"/>
    <w:rsid w:val="00BA288F"/>
    <w:rsid w:val="00BA4A4E"/>
    <w:rsid w:val="00BA5D4B"/>
    <w:rsid w:val="00BA644D"/>
    <w:rsid w:val="00BA69A0"/>
    <w:rsid w:val="00BA7286"/>
    <w:rsid w:val="00BB154B"/>
    <w:rsid w:val="00BB3C66"/>
    <w:rsid w:val="00BB6860"/>
    <w:rsid w:val="00BB701D"/>
    <w:rsid w:val="00BC0A6E"/>
    <w:rsid w:val="00BC0B6F"/>
    <w:rsid w:val="00BC1BC0"/>
    <w:rsid w:val="00BC2099"/>
    <w:rsid w:val="00BC28F2"/>
    <w:rsid w:val="00BC6431"/>
    <w:rsid w:val="00BD11FC"/>
    <w:rsid w:val="00BD1E8F"/>
    <w:rsid w:val="00BD2652"/>
    <w:rsid w:val="00BD37F2"/>
    <w:rsid w:val="00BD50FF"/>
    <w:rsid w:val="00BD51C1"/>
    <w:rsid w:val="00BD5744"/>
    <w:rsid w:val="00BE0A10"/>
    <w:rsid w:val="00BE1D51"/>
    <w:rsid w:val="00BE2D65"/>
    <w:rsid w:val="00BE2E0E"/>
    <w:rsid w:val="00BE3707"/>
    <w:rsid w:val="00BE59EF"/>
    <w:rsid w:val="00BE7AB4"/>
    <w:rsid w:val="00BF1979"/>
    <w:rsid w:val="00C0519F"/>
    <w:rsid w:val="00C0548A"/>
    <w:rsid w:val="00C100AF"/>
    <w:rsid w:val="00C12EB1"/>
    <w:rsid w:val="00C1433D"/>
    <w:rsid w:val="00C2421C"/>
    <w:rsid w:val="00C242C1"/>
    <w:rsid w:val="00C249C1"/>
    <w:rsid w:val="00C25FE5"/>
    <w:rsid w:val="00C27B4D"/>
    <w:rsid w:val="00C31AA5"/>
    <w:rsid w:val="00C3220D"/>
    <w:rsid w:val="00C33698"/>
    <w:rsid w:val="00C4184A"/>
    <w:rsid w:val="00C441BC"/>
    <w:rsid w:val="00C4458C"/>
    <w:rsid w:val="00C45AF5"/>
    <w:rsid w:val="00C46707"/>
    <w:rsid w:val="00C472C6"/>
    <w:rsid w:val="00C4758E"/>
    <w:rsid w:val="00C478E7"/>
    <w:rsid w:val="00C5076F"/>
    <w:rsid w:val="00C51D1C"/>
    <w:rsid w:val="00C542BB"/>
    <w:rsid w:val="00C55439"/>
    <w:rsid w:val="00C559F9"/>
    <w:rsid w:val="00C610E9"/>
    <w:rsid w:val="00C616E1"/>
    <w:rsid w:val="00C662BA"/>
    <w:rsid w:val="00C67076"/>
    <w:rsid w:val="00C67C61"/>
    <w:rsid w:val="00C67FFC"/>
    <w:rsid w:val="00C70CF9"/>
    <w:rsid w:val="00C72A81"/>
    <w:rsid w:val="00C74328"/>
    <w:rsid w:val="00C766E1"/>
    <w:rsid w:val="00C76EB5"/>
    <w:rsid w:val="00C77084"/>
    <w:rsid w:val="00C807FA"/>
    <w:rsid w:val="00C80A5A"/>
    <w:rsid w:val="00C82663"/>
    <w:rsid w:val="00C82CE6"/>
    <w:rsid w:val="00C861E0"/>
    <w:rsid w:val="00C86F36"/>
    <w:rsid w:val="00C9030D"/>
    <w:rsid w:val="00C91A1F"/>
    <w:rsid w:val="00C9289C"/>
    <w:rsid w:val="00C939DE"/>
    <w:rsid w:val="00CA0F47"/>
    <w:rsid w:val="00CA230B"/>
    <w:rsid w:val="00CA2ABC"/>
    <w:rsid w:val="00CA4EEB"/>
    <w:rsid w:val="00CA776D"/>
    <w:rsid w:val="00CB0E2F"/>
    <w:rsid w:val="00CB2EC6"/>
    <w:rsid w:val="00CB3137"/>
    <w:rsid w:val="00CB36FD"/>
    <w:rsid w:val="00CB4142"/>
    <w:rsid w:val="00CB450B"/>
    <w:rsid w:val="00CC09DB"/>
    <w:rsid w:val="00CC26F1"/>
    <w:rsid w:val="00CC35D7"/>
    <w:rsid w:val="00CC4841"/>
    <w:rsid w:val="00CC550E"/>
    <w:rsid w:val="00CC6144"/>
    <w:rsid w:val="00CD0A6F"/>
    <w:rsid w:val="00CD20F5"/>
    <w:rsid w:val="00CD6172"/>
    <w:rsid w:val="00CD7AEA"/>
    <w:rsid w:val="00CE2ECF"/>
    <w:rsid w:val="00CE32F9"/>
    <w:rsid w:val="00CE3F11"/>
    <w:rsid w:val="00CE4F01"/>
    <w:rsid w:val="00CE63D1"/>
    <w:rsid w:val="00CF0FF7"/>
    <w:rsid w:val="00CF32AC"/>
    <w:rsid w:val="00CF5923"/>
    <w:rsid w:val="00CF6D90"/>
    <w:rsid w:val="00D006A6"/>
    <w:rsid w:val="00D00AF6"/>
    <w:rsid w:val="00D030C7"/>
    <w:rsid w:val="00D0409E"/>
    <w:rsid w:val="00D0603E"/>
    <w:rsid w:val="00D06F22"/>
    <w:rsid w:val="00D134C5"/>
    <w:rsid w:val="00D16006"/>
    <w:rsid w:val="00D20240"/>
    <w:rsid w:val="00D20A92"/>
    <w:rsid w:val="00D23EF7"/>
    <w:rsid w:val="00D27121"/>
    <w:rsid w:val="00D31414"/>
    <w:rsid w:val="00D316CA"/>
    <w:rsid w:val="00D33D8E"/>
    <w:rsid w:val="00D34FD1"/>
    <w:rsid w:val="00D3540E"/>
    <w:rsid w:val="00D360B8"/>
    <w:rsid w:val="00D412C1"/>
    <w:rsid w:val="00D42C23"/>
    <w:rsid w:val="00D50703"/>
    <w:rsid w:val="00D53DAC"/>
    <w:rsid w:val="00D60851"/>
    <w:rsid w:val="00D610D0"/>
    <w:rsid w:val="00D6256F"/>
    <w:rsid w:val="00D67074"/>
    <w:rsid w:val="00D67BD3"/>
    <w:rsid w:val="00D70E3E"/>
    <w:rsid w:val="00D72F5A"/>
    <w:rsid w:val="00D731E5"/>
    <w:rsid w:val="00D74B86"/>
    <w:rsid w:val="00D768CF"/>
    <w:rsid w:val="00D80133"/>
    <w:rsid w:val="00D81C92"/>
    <w:rsid w:val="00D82645"/>
    <w:rsid w:val="00D83BB3"/>
    <w:rsid w:val="00D8602E"/>
    <w:rsid w:val="00D87021"/>
    <w:rsid w:val="00D872D8"/>
    <w:rsid w:val="00D87E08"/>
    <w:rsid w:val="00D900BF"/>
    <w:rsid w:val="00D90B4A"/>
    <w:rsid w:val="00D91445"/>
    <w:rsid w:val="00D91E32"/>
    <w:rsid w:val="00D94FFB"/>
    <w:rsid w:val="00D95F4A"/>
    <w:rsid w:val="00D96F97"/>
    <w:rsid w:val="00D97E3F"/>
    <w:rsid w:val="00DA1242"/>
    <w:rsid w:val="00DA54D6"/>
    <w:rsid w:val="00DA636B"/>
    <w:rsid w:val="00DA6984"/>
    <w:rsid w:val="00DA720C"/>
    <w:rsid w:val="00DA7B92"/>
    <w:rsid w:val="00DB0D96"/>
    <w:rsid w:val="00DB184A"/>
    <w:rsid w:val="00DB516A"/>
    <w:rsid w:val="00DB5A20"/>
    <w:rsid w:val="00DB7E4F"/>
    <w:rsid w:val="00DC5631"/>
    <w:rsid w:val="00DD19A7"/>
    <w:rsid w:val="00DD2E74"/>
    <w:rsid w:val="00DD30FB"/>
    <w:rsid w:val="00DD4AB8"/>
    <w:rsid w:val="00DD5C13"/>
    <w:rsid w:val="00DE39D2"/>
    <w:rsid w:val="00DE6807"/>
    <w:rsid w:val="00DF261B"/>
    <w:rsid w:val="00DF39ED"/>
    <w:rsid w:val="00DF3F3E"/>
    <w:rsid w:val="00DF48F2"/>
    <w:rsid w:val="00DF5001"/>
    <w:rsid w:val="00E00AC2"/>
    <w:rsid w:val="00E05AE3"/>
    <w:rsid w:val="00E05F42"/>
    <w:rsid w:val="00E10763"/>
    <w:rsid w:val="00E110B6"/>
    <w:rsid w:val="00E148AC"/>
    <w:rsid w:val="00E16919"/>
    <w:rsid w:val="00E16A3D"/>
    <w:rsid w:val="00E16BEA"/>
    <w:rsid w:val="00E215D5"/>
    <w:rsid w:val="00E21F2C"/>
    <w:rsid w:val="00E22931"/>
    <w:rsid w:val="00E23810"/>
    <w:rsid w:val="00E242C1"/>
    <w:rsid w:val="00E33557"/>
    <w:rsid w:val="00E372E5"/>
    <w:rsid w:val="00E4046F"/>
    <w:rsid w:val="00E415D5"/>
    <w:rsid w:val="00E4559D"/>
    <w:rsid w:val="00E45E80"/>
    <w:rsid w:val="00E471FA"/>
    <w:rsid w:val="00E513FA"/>
    <w:rsid w:val="00E52964"/>
    <w:rsid w:val="00E5340F"/>
    <w:rsid w:val="00E534FE"/>
    <w:rsid w:val="00E57F09"/>
    <w:rsid w:val="00E602B0"/>
    <w:rsid w:val="00E61791"/>
    <w:rsid w:val="00E633C0"/>
    <w:rsid w:val="00E67969"/>
    <w:rsid w:val="00E712A4"/>
    <w:rsid w:val="00E732E0"/>
    <w:rsid w:val="00E73473"/>
    <w:rsid w:val="00E73BBE"/>
    <w:rsid w:val="00E76476"/>
    <w:rsid w:val="00E76D23"/>
    <w:rsid w:val="00E76FDA"/>
    <w:rsid w:val="00E77047"/>
    <w:rsid w:val="00E80599"/>
    <w:rsid w:val="00E82726"/>
    <w:rsid w:val="00E873DA"/>
    <w:rsid w:val="00E924C1"/>
    <w:rsid w:val="00E93460"/>
    <w:rsid w:val="00E93E44"/>
    <w:rsid w:val="00E94C71"/>
    <w:rsid w:val="00E956E0"/>
    <w:rsid w:val="00EA0BB8"/>
    <w:rsid w:val="00EA0E27"/>
    <w:rsid w:val="00EA4111"/>
    <w:rsid w:val="00EA597C"/>
    <w:rsid w:val="00EB4520"/>
    <w:rsid w:val="00EB56FE"/>
    <w:rsid w:val="00EB5C6E"/>
    <w:rsid w:val="00EB6C9A"/>
    <w:rsid w:val="00EB6EB7"/>
    <w:rsid w:val="00EC1253"/>
    <w:rsid w:val="00EC30E8"/>
    <w:rsid w:val="00EC4D94"/>
    <w:rsid w:val="00ED2809"/>
    <w:rsid w:val="00ED2F96"/>
    <w:rsid w:val="00ED41CF"/>
    <w:rsid w:val="00ED4332"/>
    <w:rsid w:val="00EE06C4"/>
    <w:rsid w:val="00EE19E5"/>
    <w:rsid w:val="00EE2194"/>
    <w:rsid w:val="00EE27AC"/>
    <w:rsid w:val="00EE38A5"/>
    <w:rsid w:val="00EE3ADA"/>
    <w:rsid w:val="00EE5176"/>
    <w:rsid w:val="00EE56F6"/>
    <w:rsid w:val="00EE626E"/>
    <w:rsid w:val="00EE72E6"/>
    <w:rsid w:val="00EF12A5"/>
    <w:rsid w:val="00EF64FE"/>
    <w:rsid w:val="00EF677A"/>
    <w:rsid w:val="00EF6998"/>
    <w:rsid w:val="00EF6B34"/>
    <w:rsid w:val="00EF72A2"/>
    <w:rsid w:val="00F01208"/>
    <w:rsid w:val="00F019D0"/>
    <w:rsid w:val="00F02B4A"/>
    <w:rsid w:val="00F116F6"/>
    <w:rsid w:val="00F1304E"/>
    <w:rsid w:val="00F160CE"/>
    <w:rsid w:val="00F160CF"/>
    <w:rsid w:val="00F2013E"/>
    <w:rsid w:val="00F23C92"/>
    <w:rsid w:val="00F24C1D"/>
    <w:rsid w:val="00F2572D"/>
    <w:rsid w:val="00F27BD8"/>
    <w:rsid w:val="00F30135"/>
    <w:rsid w:val="00F30429"/>
    <w:rsid w:val="00F31928"/>
    <w:rsid w:val="00F35744"/>
    <w:rsid w:val="00F4036B"/>
    <w:rsid w:val="00F42B70"/>
    <w:rsid w:val="00F4379B"/>
    <w:rsid w:val="00F44FB0"/>
    <w:rsid w:val="00F45566"/>
    <w:rsid w:val="00F456C4"/>
    <w:rsid w:val="00F53857"/>
    <w:rsid w:val="00F548ED"/>
    <w:rsid w:val="00F551DE"/>
    <w:rsid w:val="00F55327"/>
    <w:rsid w:val="00F60E4E"/>
    <w:rsid w:val="00F63531"/>
    <w:rsid w:val="00F64559"/>
    <w:rsid w:val="00F669E7"/>
    <w:rsid w:val="00F66AC9"/>
    <w:rsid w:val="00F73024"/>
    <w:rsid w:val="00F74F27"/>
    <w:rsid w:val="00F76CAC"/>
    <w:rsid w:val="00F82347"/>
    <w:rsid w:val="00F826AF"/>
    <w:rsid w:val="00F878E3"/>
    <w:rsid w:val="00F901AA"/>
    <w:rsid w:val="00F90C42"/>
    <w:rsid w:val="00F91887"/>
    <w:rsid w:val="00F923D1"/>
    <w:rsid w:val="00F9322E"/>
    <w:rsid w:val="00F93733"/>
    <w:rsid w:val="00F9487F"/>
    <w:rsid w:val="00F949B6"/>
    <w:rsid w:val="00F94F1D"/>
    <w:rsid w:val="00F951E7"/>
    <w:rsid w:val="00F952EA"/>
    <w:rsid w:val="00F96121"/>
    <w:rsid w:val="00F96B2D"/>
    <w:rsid w:val="00FA1A6B"/>
    <w:rsid w:val="00FA35B1"/>
    <w:rsid w:val="00FA4749"/>
    <w:rsid w:val="00FA65C2"/>
    <w:rsid w:val="00FA730B"/>
    <w:rsid w:val="00FB00B2"/>
    <w:rsid w:val="00FB39A9"/>
    <w:rsid w:val="00FB5B1C"/>
    <w:rsid w:val="00FB7300"/>
    <w:rsid w:val="00FC03DA"/>
    <w:rsid w:val="00FC0C5A"/>
    <w:rsid w:val="00FC3901"/>
    <w:rsid w:val="00FC69C9"/>
    <w:rsid w:val="00FC7175"/>
    <w:rsid w:val="00FC7AD5"/>
    <w:rsid w:val="00FD2563"/>
    <w:rsid w:val="00FD4F90"/>
    <w:rsid w:val="00FD6BA7"/>
    <w:rsid w:val="00FE251C"/>
    <w:rsid w:val="00FE2A7D"/>
    <w:rsid w:val="00FE3F98"/>
    <w:rsid w:val="00FE440C"/>
    <w:rsid w:val="00FF3D38"/>
    <w:rsid w:val="00FF5CB9"/>
    <w:rsid w:val="03710B9D"/>
    <w:rsid w:val="03FE5130"/>
    <w:rsid w:val="0B163754"/>
    <w:rsid w:val="0D016E0A"/>
    <w:rsid w:val="0D4C612B"/>
    <w:rsid w:val="14D6586D"/>
    <w:rsid w:val="1BB9498B"/>
    <w:rsid w:val="1D394E80"/>
    <w:rsid w:val="1FAB6703"/>
    <w:rsid w:val="22557ECE"/>
    <w:rsid w:val="246E2630"/>
    <w:rsid w:val="2B702BFD"/>
    <w:rsid w:val="2E45226E"/>
    <w:rsid w:val="2EC05FEE"/>
    <w:rsid w:val="2FA365AB"/>
    <w:rsid w:val="30AE31C0"/>
    <w:rsid w:val="339E0915"/>
    <w:rsid w:val="3E3A5FAB"/>
    <w:rsid w:val="44072ED5"/>
    <w:rsid w:val="44A75419"/>
    <w:rsid w:val="4F163653"/>
    <w:rsid w:val="507C07E7"/>
    <w:rsid w:val="58C223CA"/>
    <w:rsid w:val="59F45487"/>
    <w:rsid w:val="5A3C573C"/>
    <w:rsid w:val="62BF005E"/>
    <w:rsid w:val="63550847"/>
    <w:rsid w:val="64CD3207"/>
    <w:rsid w:val="65190BD8"/>
    <w:rsid w:val="68195B0B"/>
    <w:rsid w:val="6A1C421A"/>
    <w:rsid w:val="707F6D0F"/>
    <w:rsid w:val="72D831EC"/>
    <w:rsid w:val="73CF2113"/>
    <w:rsid w:val="7D00089B"/>
    <w:rsid w:val="7DDD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5"/>
    <w:basedOn w:val="1"/>
    <w:next w:val="1"/>
    <w:link w:val="20"/>
    <w:qFormat/>
    <w:uiPriority w:val="9"/>
    <w:pPr>
      <w:widowControl/>
      <w:spacing w:before="100" w:beforeAutospacing="1" w:after="100" w:afterAutospacing="1"/>
      <w:jc w:val="left"/>
      <w:outlineLvl w:val="4"/>
    </w:pPr>
    <w:rPr>
      <w:rFonts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rPr>
      <w:rFonts w:ascii="Times New Roman" w:hAnsi="Times New Roman"/>
      <w:sz w:val="21"/>
    </w:rPr>
  </w:style>
  <w:style w:type="paragraph" w:styleId="4">
    <w:name w:val="Body Text"/>
    <w:basedOn w:val="1"/>
    <w:link w:val="24"/>
    <w:qFormat/>
    <w:uiPriority w:val="1"/>
    <w:pPr>
      <w:spacing w:before="36"/>
      <w:ind w:left="300"/>
      <w:jc w:val="left"/>
    </w:pPr>
    <w:rPr>
      <w:rFonts w:ascii="仿宋" w:hAnsi="仿宋" w:eastAsia="仿宋" w:cstheme="minorBidi"/>
      <w:kern w:val="0"/>
      <w:sz w:val="24"/>
      <w:lang w:eastAsia="en-US"/>
    </w:rPr>
  </w:style>
  <w:style w:type="paragraph" w:styleId="5">
    <w:name w:val="Date"/>
    <w:basedOn w:val="1"/>
    <w:next w:val="1"/>
    <w:semiHidden/>
    <w:qFormat/>
    <w:uiPriority w:val="0"/>
    <w:pPr>
      <w:widowControl/>
    </w:pPr>
    <w:rPr>
      <w:rFonts w:ascii="Times New Roman" w:hAnsi="Times New Roman"/>
      <w:kern w:val="0"/>
      <w:sz w:val="20"/>
      <w:szCs w:val="20"/>
    </w:rPr>
  </w:style>
  <w:style w:type="paragraph" w:styleId="6">
    <w:name w:val="Balloon Text"/>
    <w:basedOn w:val="1"/>
    <w:link w:val="19"/>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cs="宋体"/>
      <w:kern w:val="0"/>
      <w:sz w:val="24"/>
    </w:rPr>
  </w:style>
  <w:style w:type="paragraph" w:styleId="10">
    <w:name w:val="annotation subject"/>
    <w:basedOn w:val="3"/>
    <w:next w:val="3"/>
    <w:link w:val="22"/>
    <w:semiHidden/>
    <w:unhideWhenUsed/>
    <w:qFormat/>
    <w:uiPriority w:val="0"/>
    <w:rPr>
      <w:rFonts w:ascii="宋体" w:hAnsi="宋体"/>
      <w:b/>
      <w:bCs/>
      <w:sz w:val="28"/>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眉 Char"/>
    <w:link w:val="8"/>
    <w:qFormat/>
    <w:uiPriority w:val="0"/>
    <w:rPr>
      <w:rFonts w:ascii="宋体" w:hAnsi="宋体"/>
      <w:kern w:val="2"/>
      <w:sz w:val="18"/>
      <w:szCs w:val="18"/>
    </w:rPr>
  </w:style>
  <w:style w:type="character" w:customStyle="1" w:styleId="17">
    <w:name w:val="页脚 Char"/>
    <w:link w:val="7"/>
    <w:qFormat/>
    <w:uiPriority w:val="99"/>
    <w:rPr>
      <w:rFonts w:ascii="宋体" w:hAnsi="宋体"/>
      <w:kern w:val="2"/>
      <w:sz w:val="18"/>
      <w:szCs w:val="18"/>
    </w:rPr>
  </w:style>
  <w:style w:type="character" w:customStyle="1" w:styleId="18">
    <w:name w:val="批注文字 Char"/>
    <w:link w:val="3"/>
    <w:qFormat/>
    <w:uiPriority w:val="0"/>
    <w:rPr>
      <w:kern w:val="2"/>
      <w:sz w:val="21"/>
      <w:szCs w:val="24"/>
    </w:rPr>
  </w:style>
  <w:style w:type="character" w:customStyle="1" w:styleId="19">
    <w:name w:val="批注框文本 Char"/>
    <w:link w:val="6"/>
    <w:qFormat/>
    <w:uiPriority w:val="0"/>
    <w:rPr>
      <w:rFonts w:ascii="宋体" w:hAnsi="宋体"/>
      <w:kern w:val="2"/>
      <w:sz w:val="18"/>
      <w:szCs w:val="18"/>
    </w:rPr>
  </w:style>
  <w:style w:type="character" w:customStyle="1" w:styleId="20">
    <w:name w:val="标题 5 Char"/>
    <w:basedOn w:val="13"/>
    <w:link w:val="2"/>
    <w:qFormat/>
    <w:uiPriority w:val="9"/>
    <w:rPr>
      <w:rFonts w:ascii="宋体" w:hAnsi="宋体" w:cs="宋体"/>
      <w:b/>
      <w:bCs/>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主题 Char"/>
    <w:basedOn w:val="18"/>
    <w:link w:val="10"/>
    <w:semiHidden/>
    <w:qFormat/>
    <w:uiPriority w:val="0"/>
    <w:rPr>
      <w:rFonts w:ascii="宋体" w:hAnsi="宋体"/>
      <w:b/>
      <w:bCs/>
      <w:kern w:val="2"/>
      <w:sz w:val="28"/>
      <w:szCs w:val="24"/>
    </w:rPr>
  </w:style>
  <w:style w:type="paragraph" w:customStyle="1" w:styleId="23">
    <w:name w:val="修订1"/>
    <w:hidden/>
    <w:semiHidden/>
    <w:qFormat/>
    <w:uiPriority w:val="99"/>
    <w:rPr>
      <w:rFonts w:ascii="宋体" w:hAnsi="宋体" w:eastAsia="宋体" w:cs="Times New Roman"/>
      <w:kern w:val="2"/>
      <w:sz w:val="28"/>
      <w:szCs w:val="24"/>
      <w:lang w:val="en-US" w:eastAsia="zh-CN" w:bidi="ar-SA"/>
    </w:rPr>
  </w:style>
  <w:style w:type="character" w:customStyle="1" w:styleId="24">
    <w:name w:val="正文文本 Char"/>
    <w:basedOn w:val="13"/>
    <w:link w:val="4"/>
    <w:qFormat/>
    <w:uiPriority w:val="1"/>
    <w:rPr>
      <w:rFonts w:ascii="仿宋" w:hAnsi="仿宋" w:eastAsia="仿宋" w:cstheme="minorBidi"/>
      <w:sz w:val="24"/>
      <w:szCs w:val="24"/>
      <w:lang w:eastAsia="en-US"/>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207E-F2DA-4E71-8DB0-76F57713C08B}">
  <ds:schemaRefs/>
</ds:datastoreItem>
</file>

<file path=docProps/app.xml><?xml version="1.0" encoding="utf-8"?>
<Properties xmlns="http://schemas.openxmlformats.org/officeDocument/2006/extended-properties" xmlns:vt="http://schemas.openxmlformats.org/officeDocument/2006/docPropsVTypes">
  <Template>Normal</Template>
  <Company>qi</Company>
  <Pages>4</Pages>
  <Words>390</Words>
  <Characters>2229</Characters>
  <Lines>18</Lines>
  <Paragraphs>5</Paragraphs>
  <TotalTime>0</TotalTime>
  <ScaleCrop>false</ScaleCrop>
  <LinksUpToDate>false</LinksUpToDate>
  <CharactersWithSpaces>2614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2022-04-28T07:50:00Z</dcterms:created>
  <dc:creator>qi</dc:creator>
  <cp:lastModifiedBy>Sarah</cp:lastModifiedBy>
  <cp:lastPrinted>2018-10-15T11:18:00Z</cp:lastPrinted>
  <dcterms:modified xsi:type="dcterms:W3CDTF">2023-09-15T08:54:32Z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A6A813DD9E504E8BA9FFCDC87A4B5DEC_12</vt:lpwstr>
  </property>
</Properties>
</file>