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0" w:line="560" w:lineRule="exact"/>
        <w:jc w:val="center"/>
        <w:textAlignment w:val="auto"/>
        <w:rPr>
          <w:rFonts w:hint="default" w:ascii="宋体" w:hAnsi="宋体" w:eastAsia="宋体" w:cs="宋体"/>
          <w:sz w:val="21"/>
          <w:szCs w:val="21"/>
          <w:lang w:val="en-US" w:eastAsia="zh-CN"/>
        </w:rPr>
      </w:pPr>
      <w:r>
        <w:rPr>
          <w:rFonts w:ascii="宋体" w:hAnsi="宋体" w:eastAsia="宋体" w:cs="宋体"/>
          <w:sz w:val="21"/>
          <w:szCs w:val="21"/>
        </w:rPr>
        <w:t xml:space="preserve">证券代码：000863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        证券简称：三湘印象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       公告编号：</w:t>
      </w:r>
      <w:r>
        <w:rPr>
          <w:rFonts w:hint="eastAsia" w:ascii="宋体" w:hAnsi="宋体" w:eastAsia="宋体" w:cs="宋体"/>
          <w:sz w:val="21"/>
          <w:szCs w:val="21"/>
          <w:lang w:val="en-US" w:eastAsia="zh-CN"/>
        </w:rPr>
        <w:t>2023-050</w:t>
      </w:r>
    </w:p>
    <w:p>
      <w:pPr>
        <w:spacing w:before="0" w:after="1000" w:line="400" w:lineRule="exact"/>
        <w:jc w:val="center"/>
      </w:pPr>
      <w:r>
        <w:rPr>
          <w:rFonts w:ascii="宋体" w:hAnsi="宋体" w:eastAsia="宋体" w:cs="宋体"/>
          <w:b/>
          <w:bCs/>
          <w:sz w:val="36"/>
          <w:szCs w:val="36"/>
        </w:rPr>
        <w:t>三湘印象股份有限公司2023年半年度报告摘要</w:t>
      </w:r>
    </w:p>
    <w:p>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pPr>
        <w:spacing w:before="40" w:after="40" w:line="240" w:lineRule="exact"/>
        <w:jc w:val="left"/>
        <w:rPr>
          <w:rFonts w:ascii="宋体" w:hAnsi="宋体" w:eastAsia="宋体" w:cs="宋体"/>
          <w:sz w:val="18"/>
          <w:szCs w:val="18"/>
        </w:rPr>
      </w:pPr>
      <w:r>
        <w:rPr>
          <w:rFonts w:ascii="宋体" w:hAnsi="宋体" w:eastAsia="宋体" w:cs="宋体"/>
          <w:sz w:val="18"/>
          <w:szCs w:val="18"/>
        </w:rPr>
        <w:t>本半年度报告摘要来自半年度报告全文，为全面了解本公司的经营成果、财务状况及未来发展规划，投资者应当到证监会指定媒体仔细阅读半年度报告全文。</w:t>
      </w:r>
    </w:p>
    <w:p>
      <w:pPr>
        <w:spacing w:before="0" w:after="0" w:line="240" w:lineRule="exact"/>
        <w:jc w:val="left"/>
        <w:rPr>
          <w:rFonts w:ascii="宋体" w:hAnsi="宋体" w:eastAsia="宋体" w:cs="宋体"/>
          <w:sz w:val="18"/>
          <w:szCs w:val="18"/>
        </w:rPr>
      </w:pPr>
      <w:r>
        <w:rPr>
          <w:rFonts w:ascii="宋体" w:hAnsi="宋体" w:eastAsia="宋体" w:cs="宋体"/>
          <w:sz w:val="18"/>
          <w:szCs w:val="18"/>
        </w:rPr>
        <w:t>所有董事均已出席了审议本报告的董事会会议。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非标准审计意见提示</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董事会审议的报告期普通股利润分配预案或公积金转增股本预案</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公司计划不派发现金红利，不送红股，不以公积金转增股本。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2142"/>
        <w:gridCol w:w="1071"/>
        <w:gridCol w:w="1071"/>
        <w:gridCol w:w="2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三湘印象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6426"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熊星</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宋体" w:hAnsi="宋体" w:eastAsia="宋体" w:cs="宋体"/>
                <w:sz w:val="18"/>
                <w:szCs w:val="18"/>
                <w:lang w:val="en-US" w:eastAsia="zh-CN"/>
              </w:rPr>
            </w:pPr>
            <w:r>
              <w:rPr>
                <w:rFonts w:ascii="宋体" w:hAnsi="宋体" w:eastAsia="宋体" w:cs="宋体"/>
                <w:sz w:val="18"/>
                <w:szCs w:val="18"/>
              </w:rPr>
              <w:t>程玉珊</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王逸娇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上海市杨浦区逸仙路333号</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上海市杨浦区逸仙路333号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021-65364018</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021-65364018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sxgf000863@sxgf.com</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sxgf000863@sxgf.com</w:t>
            </w:r>
          </w:p>
        </w:tc>
      </w:tr>
    </w:tbl>
    <w:p>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2、主要财务数据和财务指标</w:t>
      </w:r>
      <w:bookmarkEnd w:id="3"/>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追溯调整或重述原因</w:t>
      </w:r>
    </w:p>
    <w:p>
      <w:pPr>
        <w:spacing w:before="0" w:after="0" w:line="240" w:lineRule="exact"/>
        <w:jc w:val="left"/>
        <w:rPr>
          <w:rFonts w:ascii="宋体" w:hAnsi="宋体" w:eastAsia="宋体" w:cs="宋体"/>
          <w:sz w:val="18"/>
          <w:szCs w:val="18"/>
        </w:rPr>
      </w:pPr>
      <w:r>
        <w:rPr>
          <w:rFonts w:ascii="宋体" w:hAnsi="宋体" w:eastAsia="宋体" w:cs="宋体"/>
          <w:sz w:val="18"/>
          <w:szCs w:val="18"/>
        </w:rPr>
        <w:t>会计政策变更</w:t>
      </w:r>
    </w:p>
    <w:tbl>
      <w:tblPr>
        <w:tblStyle w:val="3"/>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2"/>
        <w:gridCol w:w="1744"/>
        <w:gridCol w:w="1675"/>
        <w:gridCol w:w="1675"/>
        <w:gridCol w:w="13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7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35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3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180,491,591.94</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222,049,137.28</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222,049,137.28</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-41,032,296.02</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-68,068,840.60</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-68,068,840.60</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-32,168,908.15</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-68,976,885.80</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-68,976,885.80</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-170,319,184.98</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73,133,873.59</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73,133,873.59</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-0.92%</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增加</w:t>
            </w:r>
            <w:r>
              <w:rPr>
                <w:rFonts w:ascii="宋体" w:hAnsi="宋体" w:eastAsia="宋体" w:cs="宋体"/>
                <w:sz w:val="18"/>
                <w:szCs w:val="18"/>
              </w:rPr>
              <w:t>0.59</w:t>
            </w:r>
            <w:r>
              <w:rPr>
                <w:rFonts w:hint="eastAsia" w:ascii="宋体" w:hAnsi="宋体" w:eastAsia="宋体" w:cs="宋体"/>
                <w:sz w:val="18"/>
                <w:szCs w:val="18"/>
                <w:lang w:val="en-US" w:eastAsia="zh-CN"/>
              </w:rPr>
              <w:t>个百分点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7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335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13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6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7,347,921,976.27</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6,919,386,670.31</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6,919,466,909.21</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4,428,225,327.28</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4,469,408,381.41</w:t>
            </w:r>
          </w:p>
        </w:tc>
        <w:tc>
          <w:tcPr>
            <w:tcW w:w="16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4,469,414,642.12</w:t>
            </w:r>
          </w:p>
        </w:tc>
        <w:tc>
          <w:tcPr>
            <w:tcW w:w="13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会计政策变更的原因及会计差错更正的情况</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财政部于2022年11月30日发布了《企业会计准则解释第16号》（财会〔2022〕31号），规定了“关于单项交易产生的资产和负债相关的递延所得税不适用初始确认豁免的会计处理”自2023年1月1日起施行。2023年4月25日，公司董事会发布了《关于会计政策变更的公告》，公司将按以上文件规定的生效日期开始执行上述会计准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公司自2023年1月1日起执行《企业会计准则解释第16号》中关于“单项交易产生的资产和负债相关的递延所得税不适用初始确认豁免”的会计处理，根据累积影响数，调整财务报表相关项目金额；本次变更对母公司单体财务报表无影响。</w:t>
      </w:r>
    </w:p>
    <w:p>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3、公司股东数量及持股情况</w:t>
      </w:r>
      <w:bookmarkEnd w:id="4"/>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64"/>
        <w:gridCol w:w="1534"/>
        <w:gridCol w:w="1191"/>
        <w:gridCol w:w="1434"/>
        <w:gridCol w:w="1708"/>
        <w:gridCol w:w="1083"/>
        <w:gridCol w:w="12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99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45,126</w:t>
            </w:r>
          </w:p>
        </w:tc>
        <w:tc>
          <w:tcPr>
            <w:tcW w:w="3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53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19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43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70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30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53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9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43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0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8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22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上海三湘投资控股有限公司</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18.53%</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218,768,584</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黄辉</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174,149,902</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黄卫枝</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151,609,659</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钜洲资产管理（上海）有限公司</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12,984,479</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冻结</w:t>
            </w: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12,984,479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刘红波</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0.89%</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10,500,000</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沈阳创业投资管理集团有限公司</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0.86%</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10,128,168</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中润经济发展有限责任公司</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0.84%</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9,859,955</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刘阳</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0.75%</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8,905,000</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黄建</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0.75%</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8,859,048</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6,644,286</w:t>
            </w: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4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张素芬</w:t>
            </w:r>
          </w:p>
        </w:tc>
        <w:tc>
          <w:tcPr>
            <w:tcW w:w="15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1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0.74%</w:t>
            </w:r>
          </w:p>
        </w:tc>
        <w:tc>
          <w:tcPr>
            <w:tcW w:w="14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8,700,000</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8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99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6641"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上海三湘投资控股有限公司实际控制人即黄辉，黄辉与黄卫枝、黄建系亲兄妹、亲兄弟关系；除上述外，公司未知其他股东之间是否存在关联关系，未知其是否属于《上市公司收购管理办法》规定的一致行动人。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99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参与融资融券业务股东情况说明（如有）</w:t>
            </w:r>
          </w:p>
        </w:tc>
        <w:tc>
          <w:tcPr>
            <w:tcW w:w="6641"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公司股东上海三湘投资控股有限公司除通过普通证券账户持有153,768,584股外，还通过东海证券股份有限公司客户信用交易担保证券账户持有65,000,000股，实际合计持有218,768,584股；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公司股东黄卫枝除通过普通证券账户持有126,609,659股外，还通过国泰君安证券股份有限公司客户信用交易担保证券账户持有25,000,000股，实际合计持有151,609,659股；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公司股东刘红波未通过普通证券账户持有股份，通过南京证券股份有限公司客户信用交易担保证券账户持有10,500,000股，实际合计持有10,500,000股；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公司股东刘阳除通过普通证券账户持有105,000股外，还通过诚通证券股份有限公司客户信用交易担保证券账户持有8,800,000股，实际合计持有8,905,000股。</w:t>
            </w:r>
          </w:p>
        </w:tc>
      </w:tr>
    </w:tbl>
    <w:p>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4、控股股东或实际控制人变更情况</w:t>
      </w:r>
      <w:bookmarkEnd w:id="5"/>
    </w:p>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5、公司优先股股东总数及前10名优先股股东持股情况表</w:t>
      </w:r>
      <w:bookmarkEnd w:id="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6、在半年度报告批准报出日存续的债券情况</w:t>
      </w:r>
      <w:bookmarkEnd w:id="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numPr>
          <w:ilvl w:val="0"/>
          <w:numId w:val="1"/>
        </w:numPr>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重要事项</w:t>
      </w:r>
      <w:bookmarkEnd w:id="8"/>
    </w:p>
    <w:p>
      <w:pPr>
        <w:keepNext/>
        <w:keepLines/>
        <w:pageBreakBefore w:val="0"/>
        <w:widowControl w:val="0"/>
        <w:kinsoku/>
        <w:wordWrap/>
        <w:overflowPunct/>
        <w:topLinePunct w:val="0"/>
        <w:autoSpaceDE/>
        <w:autoSpaceDN/>
        <w:bidi w:val="0"/>
        <w:adjustRightInd/>
        <w:snapToGrid/>
        <w:spacing w:before="200" w:after="200" w:line="320" w:lineRule="exact"/>
        <w:ind w:firstLine="420" w:firstLineChars="200"/>
        <w:jc w:val="left"/>
        <w:textAlignment w:val="auto"/>
        <w:outlineLvl w:val="1"/>
        <w:rPr>
          <w:rFonts w:ascii="宋体" w:hAnsi="宋体" w:eastAsia="宋体" w:cs="宋体"/>
          <w:b/>
          <w:bCs/>
          <w:sz w:val="21"/>
          <w:szCs w:val="21"/>
        </w:rPr>
      </w:pPr>
      <w:bookmarkStart w:id="9" w:name="_Toc988903"/>
      <w:r>
        <w:rPr>
          <w:rFonts w:hint="eastAsia" w:ascii="宋体" w:hAnsi="宋体" w:eastAsia="宋体" w:cs="宋体"/>
          <w:b/>
          <w:bCs/>
          <w:sz w:val="21"/>
          <w:szCs w:val="21"/>
          <w:lang w:eastAsia="zh-CN"/>
        </w:rPr>
        <w:t>（</w:t>
      </w:r>
      <w:r>
        <w:rPr>
          <w:rFonts w:ascii="宋体" w:hAnsi="宋体" w:eastAsia="宋体" w:cs="宋体"/>
          <w:b/>
          <w:bCs/>
          <w:sz w:val="21"/>
          <w:szCs w:val="21"/>
        </w:rPr>
        <w:t>一</w:t>
      </w:r>
      <w:r>
        <w:rPr>
          <w:rFonts w:hint="eastAsia" w:ascii="宋体" w:hAnsi="宋体" w:eastAsia="宋体" w:cs="宋体"/>
          <w:b/>
          <w:bCs/>
          <w:sz w:val="21"/>
          <w:szCs w:val="21"/>
          <w:lang w:eastAsia="zh-CN"/>
        </w:rPr>
        <w:t>）</w:t>
      </w:r>
      <w:r>
        <w:rPr>
          <w:rFonts w:ascii="宋体" w:hAnsi="宋体" w:eastAsia="宋体" w:cs="宋体"/>
          <w:b/>
          <w:bCs/>
          <w:sz w:val="21"/>
          <w:szCs w:val="21"/>
        </w:rPr>
        <w:t>报告期内公司从事的主要业务</w:t>
      </w:r>
      <w:bookmarkEnd w:id="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ascii="Calibri" w:hAnsi="Calibri" w:cs="Calibri"/>
          <w:sz w:val="24"/>
          <w:szCs w:val="24"/>
        </w:rPr>
      </w:pPr>
      <w:r>
        <w:rPr>
          <w:rFonts w:hint="eastAsia" w:ascii="宋体" w:hAnsi="宋体" w:eastAsia="宋体" w:cs="宋体"/>
          <w:i w:val="0"/>
          <w:iCs w:val="0"/>
          <w:caps w:val="0"/>
          <w:color w:val="000000"/>
          <w:spacing w:val="0"/>
          <w:sz w:val="21"/>
          <w:szCs w:val="21"/>
        </w:rPr>
        <w:t>公司坚持以“加快发展文化产业，稳步发展房地产业，推动两大产业协同发展”为战略指导，通过“文化</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地产”双向赋能、联动发展，不断寻找新的发展机会、拓展新的产业领域，驱动公司高质量、可持续发展，持续创造更多经济价值和社会价值。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Calibri" w:hAnsi="Calibri" w:cs="Calibri"/>
          <w:sz w:val="24"/>
          <w:szCs w:val="24"/>
        </w:rPr>
      </w:pPr>
      <w:r>
        <w:rPr>
          <w:rStyle w:val="5"/>
          <w:rFonts w:hint="eastAsia" w:ascii="Times New Roman" w:hAnsi="Times New Roman" w:eastAsia="宋体" w:cs="Times New Roman"/>
          <w:b/>
          <w:bCs/>
          <w:i w:val="0"/>
          <w:iCs w:val="0"/>
          <w:caps w:val="0"/>
          <w:color w:val="000000"/>
          <w:spacing w:val="0"/>
          <w:sz w:val="21"/>
          <w:szCs w:val="21"/>
          <w:lang w:val="en-US" w:eastAsia="zh-CN"/>
        </w:rPr>
        <w:t>1、</w:t>
      </w:r>
      <w:r>
        <w:rPr>
          <w:rStyle w:val="5"/>
          <w:rFonts w:hint="eastAsia" w:ascii="宋体" w:hAnsi="宋体" w:eastAsia="宋体" w:cs="宋体"/>
          <w:b/>
          <w:bCs/>
          <w:i w:val="0"/>
          <w:iCs w:val="0"/>
          <w:caps w:val="0"/>
          <w:color w:val="000000"/>
          <w:spacing w:val="0"/>
          <w:sz w:val="21"/>
          <w:szCs w:val="21"/>
        </w:rPr>
        <w:t>文化业务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rPr>
        <w:t>公司以“讲好中国故事、展示文化魅力、助推区域发展”为愿景，致力于旅游文化演艺的策划、创意、制作和投资业务，是目前国内顶级的文化演出编创和版权运营机构之一。公司文化板块以观印象为主要业务平台。观印象以打造“国内高端文化旅游演艺内容创制机构”为目标，旗下文化演艺产品涵盖山水实景演出和情境体验剧两大类型，拥有“印象”“又见”“最忆”“归来”四大演出品牌系列。经典代表作有G20</w:t>
      </w:r>
      <w:r>
        <w:rPr>
          <w:rFonts w:hint="eastAsia" w:ascii="宋体" w:hAnsi="宋体" w:eastAsia="宋体" w:cs="宋体"/>
          <w:i w:val="0"/>
          <w:iCs w:val="0"/>
          <w:caps w:val="0"/>
          <w:color w:val="000000"/>
          <w:spacing w:val="0"/>
          <w:sz w:val="21"/>
          <w:szCs w:val="21"/>
        </w:rPr>
        <w:t>峰会文艺演出《最忆是杭州》、中国第一部山水实景演出《印象•</w:t>
      </w:r>
      <w:r>
        <w:rPr>
          <w:rFonts w:hint="eastAsia" w:ascii="宋体" w:hAnsi="宋体" w:eastAsia="宋体" w:cs="宋体"/>
          <w:i w:val="0"/>
          <w:iCs w:val="0"/>
          <w:caps w:val="0"/>
          <w:color w:val="000000"/>
          <w:spacing w:val="0"/>
          <w:sz w:val="21"/>
          <w:szCs w:val="21"/>
        </w:rPr>
        <w:t>刘三姐》、中国第一部室内情境体验剧《又见平遥》和中国第一部漂移式多维体验剧《知音号》等。观印象目前以“演出创作+</w:t>
      </w:r>
      <w:r>
        <w:rPr>
          <w:rFonts w:hint="eastAsia" w:ascii="宋体" w:hAnsi="宋体" w:eastAsia="宋体" w:cs="宋体"/>
          <w:i w:val="0"/>
          <w:iCs w:val="0"/>
          <w:caps w:val="0"/>
          <w:color w:val="000000"/>
          <w:spacing w:val="0"/>
          <w:sz w:val="21"/>
          <w:szCs w:val="21"/>
        </w:rPr>
        <w:t>知识产权许可+</w:t>
      </w:r>
      <w:r>
        <w:rPr>
          <w:rFonts w:hint="eastAsia" w:ascii="宋体" w:hAnsi="宋体" w:eastAsia="宋体" w:cs="宋体"/>
          <w:i w:val="0"/>
          <w:iCs w:val="0"/>
          <w:caps w:val="0"/>
          <w:color w:val="000000"/>
          <w:spacing w:val="0"/>
          <w:sz w:val="21"/>
          <w:szCs w:val="21"/>
        </w:rPr>
        <w:t>艺术团运营管理+</w:t>
      </w:r>
      <w:r>
        <w:rPr>
          <w:rFonts w:hint="eastAsia" w:ascii="宋体" w:hAnsi="宋体" w:eastAsia="宋体" w:cs="宋体"/>
          <w:i w:val="0"/>
          <w:iCs w:val="0"/>
          <w:caps w:val="0"/>
          <w:color w:val="000000"/>
          <w:spacing w:val="0"/>
          <w:sz w:val="21"/>
          <w:szCs w:val="21"/>
        </w:rPr>
        <w:t>股东权益分红”为主要盈利模式，主要收入来源于演出艺术创作、演出票务分成、内容维护、运营管理费以及股东权益分红等。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rPr>
        <w:t>2023</w:t>
      </w:r>
      <w:r>
        <w:rPr>
          <w:rFonts w:hint="eastAsia" w:ascii="宋体" w:hAnsi="宋体" w:eastAsia="宋体" w:cs="宋体"/>
          <w:i w:val="0"/>
          <w:iCs w:val="0"/>
          <w:caps w:val="0"/>
          <w:color w:val="000000"/>
          <w:spacing w:val="0"/>
          <w:sz w:val="21"/>
          <w:szCs w:val="21"/>
        </w:rPr>
        <w:t>年上半年，国内游客压抑已久的出行需求加速释放，国内旅游市场迎来恢复性增长，全面强势复苏。全国演出市场供需两旺，市场活跃。根据文旅部发布的数据，2023</w:t>
      </w:r>
      <w:r>
        <w:rPr>
          <w:rFonts w:hint="eastAsia" w:ascii="宋体" w:hAnsi="宋体" w:eastAsia="宋体" w:cs="宋体"/>
          <w:i w:val="0"/>
          <w:iCs w:val="0"/>
          <w:caps w:val="0"/>
          <w:color w:val="000000"/>
          <w:spacing w:val="0"/>
          <w:sz w:val="21"/>
          <w:szCs w:val="21"/>
        </w:rPr>
        <w:t>年上半年，国内旅游总人次23.84</w:t>
      </w:r>
      <w:r>
        <w:rPr>
          <w:rFonts w:hint="eastAsia" w:ascii="宋体" w:hAnsi="宋体" w:eastAsia="宋体" w:cs="宋体"/>
          <w:i w:val="0"/>
          <w:iCs w:val="0"/>
          <w:caps w:val="0"/>
          <w:color w:val="000000"/>
          <w:spacing w:val="0"/>
          <w:sz w:val="21"/>
          <w:szCs w:val="21"/>
        </w:rPr>
        <w:t>亿，比上年同期增加9.29</w:t>
      </w:r>
      <w:r>
        <w:rPr>
          <w:rFonts w:hint="eastAsia" w:ascii="宋体" w:hAnsi="宋体" w:eastAsia="宋体" w:cs="宋体"/>
          <w:i w:val="0"/>
          <w:iCs w:val="0"/>
          <w:caps w:val="0"/>
          <w:color w:val="000000"/>
          <w:spacing w:val="0"/>
          <w:sz w:val="21"/>
          <w:szCs w:val="21"/>
        </w:rPr>
        <w:t>亿，同比增长63.9%</w:t>
      </w:r>
      <w:r>
        <w:rPr>
          <w:rFonts w:hint="eastAsia" w:ascii="宋体" w:hAnsi="宋体" w:eastAsia="宋体" w:cs="宋体"/>
          <w:i w:val="0"/>
          <w:iCs w:val="0"/>
          <w:caps w:val="0"/>
          <w:color w:val="000000"/>
          <w:spacing w:val="0"/>
          <w:sz w:val="21"/>
          <w:szCs w:val="21"/>
        </w:rPr>
        <w:t>。国内旅游收入</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旅游总花费</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2.30</w:t>
      </w:r>
      <w:r>
        <w:rPr>
          <w:rFonts w:hint="eastAsia" w:ascii="宋体" w:hAnsi="宋体" w:eastAsia="宋体" w:cs="宋体"/>
          <w:i w:val="0"/>
          <w:iCs w:val="0"/>
          <w:caps w:val="0"/>
          <w:color w:val="000000"/>
          <w:spacing w:val="0"/>
          <w:sz w:val="21"/>
          <w:szCs w:val="21"/>
        </w:rPr>
        <w:t>万亿元，比上年增加1.12</w:t>
      </w:r>
      <w:r>
        <w:rPr>
          <w:rFonts w:hint="eastAsia" w:ascii="宋体" w:hAnsi="宋体" w:eastAsia="宋体" w:cs="宋体"/>
          <w:i w:val="0"/>
          <w:iCs w:val="0"/>
          <w:caps w:val="0"/>
          <w:color w:val="000000"/>
          <w:spacing w:val="0"/>
          <w:sz w:val="21"/>
          <w:szCs w:val="21"/>
        </w:rPr>
        <w:t>万亿元，增长95.9%</w:t>
      </w:r>
      <w:r>
        <w:rPr>
          <w:rFonts w:hint="eastAsia" w:ascii="宋体" w:hAnsi="宋体" w:eastAsia="宋体" w:cs="宋体"/>
          <w:i w:val="0"/>
          <w:iCs w:val="0"/>
          <w:caps w:val="0"/>
          <w:color w:val="000000"/>
          <w:spacing w:val="0"/>
          <w:sz w:val="21"/>
          <w:szCs w:val="21"/>
        </w:rPr>
        <w:t>。中国演出行业协会发布的数据显示，上半年，全国营业性演出</w:t>
      </w:r>
      <w:r>
        <w:rPr>
          <w:rFonts w:hint="eastAsia" w:ascii="宋体" w:hAnsi="宋体" w:eastAsia="宋体" w:cs="宋体"/>
          <w:color w:val="000000"/>
          <w:sz w:val="21"/>
          <w:szCs w:val="21"/>
        </w:rPr>
        <w:t>（不含娱乐场所演出）</w:t>
      </w:r>
      <w:r>
        <w:rPr>
          <w:rFonts w:hint="eastAsia" w:ascii="宋体" w:hAnsi="宋体" w:eastAsia="宋体" w:cs="宋体"/>
          <w:i w:val="0"/>
          <w:iCs w:val="0"/>
          <w:caps w:val="0"/>
          <w:color w:val="000000"/>
          <w:spacing w:val="0"/>
          <w:sz w:val="21"/>
          <w:szCs w:val="21"/>
        </w:rPr>
        <w:t>场次19.33</w:t>
      </w:r>
      <w:r>
        <w:rPr>
          <w:rFonts w:hint="eastAsia" w:ascii="宋体" w:hAnsi="宋体" w:eastAsia="宋体" w:cs="宋体"/>
          <w:i w:val="0"/>
          <w:iCs w:val="0"/>
          <w:caps w:val="0"/>
          <w:color w:val="000000"/>
          <w:spacing w:val="0"/>
          <w:sz w:val="21"/>
          <w:szCs w:val="21"/>
        </w:rPr>
        <w:t>万场，与去年同比增长400.86%</w:t>
      </w:r>
      <w:r>
        <w:rPr>
          <w:rFonts w:hint="eastAsia" w:ascii="宋体" w:hAnsi="宋体" w:eastAsia="宋体" w:cs="宋体"/>
          <w:i w:val="0"/>
          <w:iCs w:val="0"/>
          <w:caps w:val="0"/>
          <w:color w:val="000000"/>
          <w:spacing w:val="0"/>
          <w:sz w:val="21"/>
          <w:szCs w:val="21"/>
        </w:rPr>
        <w:t>；演出票房收入167.93</w:t>
      </w:r>
      <w:r>
        <w:rPr>
          <w:rFonts w:hint="eastAsia" w:ascii="宋体" w:hAnsi="宋体" w:eastAsia="宋体" w:cs="宋体"/>
          <w:i w:val="0"/>
          <w:iCs w:val="0"/>
          <w:caps w:val="0"/>
          <w:color w:val="000000"/>
          <w:spacing w:val="0"/>
          <w:sz w:val="21"/>
          <w:szCs w:val="21"/>
        </w:rPr>
        <w:t>亿元，与去年同比增长673.49%</w:t>
      </w:r>
      <w:r>
        <w:rPr>
          <w:rFonts w:hint="eastAsia" w:ascii="宋体" w:hAnsi="宋体" w:eastAsia="宋体" w:cs="宋体"/>
          <w:i w:val="0"/>
          <w:iCs w:val="0"/>
          <w:caps w:val="0"/>
          <w:color w:val="000000"/>
          <w:spacing w:val="0"/>
          <w:sz w:val="21"/>
          <w:szCs w:val="21"/>
        </w:rPr>
        <w:t>；观众人数6223.66</w:t>
      </w:r>
      <w:r>
        <w:rPr>
          <w:rFonts w:hint="eastAsia" w:ascii="宋体" w:hAnsi="宋体" w:eastAsia="宋体" w:cs="宋体"/>
          <w:i w:val="0"/>
          <w:iCs w:val="0"/>
          <w:caps w:val="0"/>
          <w:color w:val="000000"/>
          <w:spacing w:val="0"/>
          <w:sz w:val="21"/>
          <w:szCs w:val="21"/>
        </w:rPr>
        <w:t>万人次，与去年同比增长超10</w:t>
      </w:r>
      <w:r>
        <w:rPr>
          <w:rFonts w:hint="eastAsia" w:ascii="宋体" w:hAnsi="宋体" w:eastAsia="宋体" w:cs="宋体"/>
          <w:i w:val="0"/>
          <w:iCs w:val="0"/>
          <w:caps w:val="0"/>
          <w:color w:val="000000"/>
          <w:spacing w:val="0"/>
          <w:sz w:val="21"/>
          <w:szCs w:val="21"/>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rPr>
        <w:t>上半年，文旅部和国家有关部委连续下发数个关于促进文化和旅游消费及产业发展的意见或关联措施，《关于推动非物质文化遗产与旅游深度融合发展的通知》《数字中国建设整体布局规划》等文件的出台为实景演艺、数字文旅产业发展营造了利好的政策环境，加之目前国内旅游市场消费潜力巨大、新兴技术迅猛发展，我国文旅产业发展迎来了新的机遇。</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报告期内，公司文化业务主要经营情况如下：</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聚焦营销推广，在演项目恢复增长势头 </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公司一方面开展项目维护升级，帮助各项目公司挖掘潜力，另一方面加大线上线下渠道拓展，持续发布营销短视频、推文，为各项目拓展市场宣传引流。报告期内，公司旗下各项目全面复苏，市场热度持续攀升。以五一期间为例，《印象丽江》《印象普陀》《印象大红袍》《又见平遥》《又见敦煌》《又见五台山》等多个演艺项目均创演出场次、观演人数历史新高。</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2023年上半年，公司旗下各项目合计演出2140场，环比增长158%，观演人数242.98万人，环比增长736.9%，与2019年同期情况相比，旗下演出场次已恢复至114.4%，观演人数恢复至109.3%。</w:t>
      </w:r>
    </w:p>
    <w:p>
      <w:pPr>
        <w:pStyle w:val="2"/>
        <w:widowControl/>
        <w:spacing w:beforeAutospacing="0" w:afterAutospacing="0" w:line="360"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）延伸产业链条，筑牢文化业务核心能力护城河</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公司优化文化产业运营模式，延伸业务链条，加快构建编创设计→集成制作→项目运营的全产业链模式，构筑文旅全生命周期闭环，持续塑造核心竞争力。同时，公司进一步凝聚文化业务队伍，形成前台多触角、中后台统一管控，编创人才、资源共享，协同作战的运作局面。</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报告期内，由公司编创、集成制作、参与运营的演艺项目——《最忆船政》，已进入现场彩排阶段，预计在年内能实现首演。该项目在2023第七届中国文旅大消费年度峰会暨“龙雀奖”颁奖盛典上获评“最值得期待开业文旅项目”。</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拓展产品和业务，加快形成文化产业新版图</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一方面，公司紧随科技发展前沿，着力探索、前瞻布局“数字+文旅”生态体系。报告期内，公司发布《元起未来》概念片，积极向市场展示公司在数字互娱领域的理念；推出的首个数字资产“下山熊猫之时空游侠”在上海数据交易所完成登记备案并成功发行，一经上线便全部售罄，增强了公司开展虚实结合的数字文旅业务的信心。</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另一方面，公司继续发扬文旅演艺编创业务优势，拓展各地资源，积极推进</w:t>
      </w:r>
      <w:r>
        <w:rPr>
          <w:rFonts w:hint="eastAsia" w:ascii="宋体" w:hAnsi="宋体" w:eastAsia="宋体" w:cs="宋体"/>
          <w:sz w:val="21"/>
          <w:szCs w:val="21"/>
          <w:lang w:val="en-US" w:eastAsia="zh-CN"/>
        </w:rPr>
        <w:t>文</w:t>
      </w:r>
      <w:r>
        <w:rPr>
          <w:rFonts w:hint="eastAsia" w:ascii="宋体" w:hAnsi="宋体" w:eastAsia="宋体" w:cs="宋体"/>
          <w:sz w:val="21"/>
          <w:szCs w:val="21"/>
        </w:rPr>
        <w:t>旅演艺项目储备。报告期内，公司在新疆、云南、福建、浙江、港澳等地广泛考察，深度接洽项目10余个，并践行中国文化“走出去”的国家战略，赴沙特、阿联酋、卡塔尔三国开展文旅项目考察，积极输出中国文旅演艺模式。</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报告期内，公司获评第二届文旅风尚榜之“2022优秀文旅好内容企业”；2023 TRUE文旅超级评价榜之“文化IP类模范文旅运营商”；第七届“龙雀奖—最具期待文旅上市集团”；公司总裁王盛荣获“2022十大文旅商业领袖”称号；《印象·太极》项目获“2022优秀文旅演艺项目”荣誉；《又见平遥》《知音号》入选文化和旅游部产业发展司发布的“20个沉浸式文旅新业态示范案例”。</w:t>
      </w: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ascii="Calibri" w:hAnsi="Calibri" w:cs="Calibri"/>
          <w:szCs w:val="24"/>
        </w:rPr>
      </w:pPr>
      <w:r>
        <w:rPr>
          <w:rStyle w:val="5"/>
          <w:rFonts w:hint="eastAsia" w:ascii="宋体" w:hAnsi="宋体" w:cs="宋体"/>
          <w:bCs/>
          <w:color w:val="000000"/>
          <w:sz w:val="21"/>
          <w:szCs w:val="21"/>
          <w:lang w:val="en-US" w:eastAsia="zh-CN"/>
        </w:rPr>
        <w:t>2、</w:t>
      </w:r>
      <w:r>
        <w:rPr>
          <w:rStyle w:val="5"/>
          <w:rFonts w:hint="eastAsia" w:ascii="宋体" w:hAnsi="宋体" w:cs="宋体"/>
          <w:bCs/>
          <w:color w:val="000000"/>
          <w:sz w:val="21"/>
          <w:szCs w:val="21"/>
        </w:rPr>
        <w:t>地产业务</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公司系国内绿色科技地产领军企业，为房地产开发企业信用等级AAA级企业和德国可持续建筑委员会（DGNB）成员。以绿色建筑开发运营为发展方向，公司成功打造了极具影响力的“花城系列”“海尚系列”和“印象系列”等产品体系。公司紧跟绿色智能技术发展潮流，不断加大投入，逐步从“绿色科技建筑技术集成商”迭代升级为“绿色智能生活服务商”。公司房地产业务以三湘集团为核心体，是集建筑安装、建材加工、装饰设计、房产经纪、物业管理于一体的全产业链服务商，具有房地产开发、建筑工程总承包、装饰施工三个国家一级资质和一个AAA级物业管理评级，形成了以绿色设计为龙头，集绿色建造、绿色装饰、绿色运营等为一体的运营管理模式。开发项目先后获住建部“广厦奖”、国家“康居示范工程”、国家“优质工程奖”、国家“绿色建筑三星认证”、LEED金奖、上海市建设工程“白玉兰”奖、上海市“优秀住宅金奖”等奖项，多项自主研发成果获国家专利。</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上半年，国民经济修复与房地产行业复苏呈现高度一致性。一季度在需求释放、政策整体偏松推动下，经济企稳回升，房地产行业也迎来了一波“小阳春”。二季度，经济在信贷投放衰落、政策支持力度减弱后，虽延续恢复态势，但主要指标1-5月增速均有所回落。房地产层面，二季度未能延续回暖趋势，增长动能衰退，居民购房预期走低，房地产开发投资、新开工等持续承压（资料来源：克而瑞数据）。</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政策方面，2023年上半年，全国各地已有逾百省市（县）优化房地产调控政策超300次，涉及公积金支持政策、发放购房补贴、优化限购、降低首付比例及房贷利率等方面，超40城下调首套房贷利率下限至4%以下，当前多数城市限制性政策已取消。展望下半年，企业端有望继续落实资金支持政策，“保交楼”资金和配套政策亦存在进一步发力空间（资料来源：中指研究院《2023上半年中国房地产市场总结与下半年趋势展望》）。</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报告期内，公司上榜“2023中国房地ESG竞争力评测开发品牌TOP100”“2023房地产开发企业综合实力TOP500”。公司目前主要在环京区域河北省廊坊市燕郊地区开展房地产业务，2023上半年环京都市圈新建商品住宅供应面积232.0万平方米，同比增长12.8%；成交310.2万平方米，同比上涨63.8%。上半年河北省廊坊市燕郊地区商品住宅销售价格呈小幅波动上升趋势，均价约20,308元每平米（资料来源：克尔瑞数据）。</w:t>
      </w:r>
    </w:p>
    <w:p>
      <w:pPr>
        <w:pStyle w:val="2"/>
        <w:widowControl/>
        <w:spacing w:beforeAutospacing="0" w:afterAutospacing="0"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公司三湘森林海尚城项目紧邻北京轨道交通22号线（在建）高楼地铁站，定位百万平米品质改善大盘，首次将“恒温、恒氧、恒静、恒洁”四恒科技健康理念应用于区域住宅中，为区域内最热销的楼盘之一，项目在2023年1-5月河北省、廊坊市、环京新型都市圈项目销售排行榜上均名列第一（资料来源：克而瑞数据）。报告期内，该项目还获评“2022中国不动产数字化风云榜之创新营销开拓”大奖。</w:t>
      </w:r>
    </w:p>
    <w:p>
      <w:pPr>
        <w:pStyle w:val="2"/>
        <w:widowControl/>
        <w:spacing w:beforeAutospacing="0" w:afterAutospacing="0" w:line="360" w:lineRule="auto"/>
        <w:jc w:val="both"/>
        <w:rPr>
          <w:rFonts w:ascii="宋体" w:hAnsi="宋体" w:cs="宋体"/>
          <w:sz w:val="21"/>
          <w:szCs w:val="21"/>
        </w:rPr>
      </w:pPr>
      <w:r>
        <w:rPr>
          <w:rFonts w:hint="eastAsia" w:ascii="宋体" w:hAnsi="宋体" w:cs="宋体"/>
          <w:sz w:val="21"/>
          <w:szCs w:val="21"/>
        </w:rPr>
        <w:t>报告期内：</w:t>
      </w:r>
    </w:p>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ascii="宋体" w:hAnsi="宋体" w:cs="宋体"/>
          <w:sz w:val="21"/>
          <w:szCs w:val="21"/>
        </w:rPr>
        <w:t>新增土地储备项目</w:t>
      </w:r>
      <w:bookmarkStart w:id="10" w:name="_GoBack"/>
      <w:bookmarkEnd w:id="10"/>
    </w:p>
    <w:p>
      <w:pPr>
        <w:spacing w:before="100" w:after="100" w:line="240" w:lineRule="exact"/>
        <w:jc w:val="left"/>
        <w:rPr>
          <w:rFonts w:ascii="宋体" w:hAnsi="宋体" w:cs="宋体"/>
          <w:sz w:val="21"/>
          <w:szCs w:val="21"/>
        </w:rPr>
      </w:pPr>
      <w:r>
        <w:rPr>
          <w:rFonts w:hint="eastAsia" w:ascii="宋体" w:hAnsi="宋体" w:cs="宋体"/>
          <w:sz w:val="21"/>
          <w:szCs w:val="21"/>
        </w:rPr>
        <w:t>无</w:t>
      </w:r>
    </w:p>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ascii="宋体" w:hAnsi="宋体" w:cs="宋体"/>
          <w:sz w:val="21"/>
          <w:szCs w:val="21"/>
        </w:rPr>
        <w:t>累计土地储备情况</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项目/区域名称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总占地面积（万㎡）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总建筑面积（万㎡）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剩余可开发建筑面积（万㎡）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三湘森林海尚城17号地块（河北燕郊）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7.0744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21.3259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21.3259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三湘森林海尚城19号地块（河北燕郊）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6.9966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20.1550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20.1550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总计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hint="eastAsia" w:ascii="宋体" w:hAnsi="宋体" w:eastAsia="宋体" w:cs="宋体"/>
                <w:sz w:val="18"/>
                <w:szCs w:val="18"/>
                <w:lang w:val="en-US" w:eastAsia="zh-CN"/>
              </w:rPr>
            </w:pPr>
            <w:r>
              <w:rPr>
                <w:rFonts w:ascii="宋体" w:hAnsi="宋体" w:cs="宋体"/>
                <w:sz w:val="18"/>
                <w:szCs w:val="18"/>
              </w:rPr>
              <w:t>14.071</w:t>
            </w:r>
            <w:r>
              <w:rPr>
                <w:rFonts w:hint="eastAsia" w:ascii="宋体" w:hAnsi="宋体" w:cs="宋体"/>
                <w:sz w:val="18"/>
                <w:szCs w:val="18"/>
                <w:lang w:val="en-US" w:eastAsia="zh-CN"/>
              </w:rPr>
              <w:t>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41.4809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41.4809</w:t>
            </w:r>
          </w:p>
        </w:tc>
      </w:tr>
    </w:tbl>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ascii="宋体" w:hAnsi="宋体" w:cs="宋体"/>
          <w:sz w:val="21"/>
          <w:szCs w:val="21"/>
        </w:rPr>
        <w:t>主要项目开发情况</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8"/>
        <w:gridCol w:w="688"/>
        <w:gridCol w:w="688"/>
        <w:gridCol w:w="688"/>
        <w:gridCol w:w="688"/>
        <w:gridCol w:w="688"/>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城市/区域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所在位置</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项目业态</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hint="eastAsia" w:ascii="宋体" w:hAnsi="宋体" w:cs="宋体"/>
                <w:sz w:val="18"/>
                <w:szCs w:val="18"/>
              </w:rPr>
              <w:t>股权</w:t>
            </w:r>
            <w:r>
              <w:rPr>
                <w:rFonts w:ascii="宋体" w:hAnsi="宋体" w:cs="宋体"/>
                <w:sz w:val="18"/>
                <w:szCs w:val="18"/>
              </w:rPr>
              <w:t>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开工时间</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开发进度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完工进度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土地面积（㎡）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规划计容建筑面积（㎡）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本期竣工面积（㎡）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累计竣工面积（㎡）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预计总投资金额（万元）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累计投资总金额（万元）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三湘森林海尚城14号地块</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商办</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2019年03月</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已竣工</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hint="eastAsia" w:ascii="宋体" w:hAnsi="宋体" w:cs="宋体"/>
                <w:sz w:val="18"/>
                <w:szCs w:val="18"/>
                <w:lang w:val="zh-CN"/>
              </w:rPr>
              <w:t>竣备</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48,000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119,817.00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157,529.33</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118,043.51</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120,701.5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三湘森林海尚城15地块</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住宅</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2019年04月</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一标段竣工，二标段在建</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hint="eastAsia" w:ascii="宋体" w:hAnsi="宋体" w:cs="宋体"/>
                <w:sz w:val="18"/>
                <w:szCs w:val="18"/>
                <w:lang w:val="zh-CN"/>
              </w:rPr>
              <w:t>二标段主体结构施工</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51,444</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129,336.87</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145,067.70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125,678.41</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115,351.44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三湘森林海尚城16号地块</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住宅</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2020年08月</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在建</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hint="eastAsia" w:ascii="宋体" w:hAnsi="宋体" w:cs="宋体"/>
                <w:sz w:val="18"/>
                <w:szCs w:val="18"/>
                <w:lang w:val="zh-CN"/>
              </w:rPr>
              <w:t>主体结构及装修施工</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51,247</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102,492.37</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104,176.63</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59,441.44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三湘森林海尚城18号地块</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住宅</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2020年12月</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在建</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hint="eastAsia" w:ascii="宋体" w:hAnsi="宋体" w:cs="宋体"/>
                <w:sz w:val="18"/>
                <w:szCs w:val="18"/>
                <w:lang w:val="zh-CN"/>
              </w:rPr>
              <w:t>主体结构施工</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70,230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119,286.77</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133,138.94</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57,473.42</w:t>
            </w:r>
          </w:p>
        </w:tc>
      </w:tr>
    </w:tbl>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ascii="宋体" w:hAnsi="宋体" w:cs="宋体"/>
          <w:sz w:val="21"/>
          <w:szCs w:val="21"/>
        </w:rPr>
        <w:t>主要项目销售情况</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2"/>
        <w:gridCol w:w="742"/>
        <w:gridCol w:w="742"/>
        <w:gridCol w:w="742"/>
        <w:gridCol w:w="742"/>
        <w:gridCol w:w="742"/>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城市/区域</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所在位置</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项目业态</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hint="eastAsia" w:ascii="宋体" w:hAnsi="宋体" w:cs="宋体"/>
                <w:sz w:val="18"/>
                <w:szCs w:val="18"/>
              </w:rPr>
              <w:t>股权</w:t>
            </w:r>
            <w:r>
              <w:rPr>
                <w:rFonts w:ascii="宋体" w:hAnsi="宋体" w:cs="宋体"/>
                <w:sz w:val="18"/>
                <w:szCs w:val="18"/>
              </w:rPr>
              <w:t>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计容建筑面积（㎡）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可售面积（㎡）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累计预售（销售）面积（㎡）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本期预售（销售）面积（㎡）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本期预售（销售）金额（万元）</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累计结算面积（㎡）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本期结算面积（㎡）</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本期结算金额（万元）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三湘森林海尚城14号地块</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商办</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119,817.00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108,319.50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19,170.56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83.35</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116.53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11,108.43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339.05</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417.73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三湘森林海尚城（河北燕郊）15号地块</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住宅</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129,336.87</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132,033.71</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100,220.28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24,676.56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52,663.84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49,095.35</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3,012.13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6,028.7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河北燕郊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三湘森林海尚城（河北燕郊）16号地块</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燕郊</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住宅</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50.49%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102,492.37</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102,151.92</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38,524.56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21,319.29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46,954.37</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0</w:t>
            </w:r>
          </w:p>
        </w:tc>
      </w:tr>
    </w:tbl>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ascii="宋体" w:hAnsi="宋体" w:cs="宋体"/>
          <w:sz w:val="21"/>
          <w:szCs w:val="21"/>
        </w:rPr>
        <w:t>主要项目出租情况</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所在位置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项目业态</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hint="eastAsia" w:ascii="宋体" w:hAnsi="宋体" w:cs="宋体"/>
                <w:sz w:val="18"/>
                <w:szCs w:val="18"/>
              </w:rPr>
              <w:t>股权</w:t>
            </w:r>
            <w:r>
              <w:rPr>
                <w:rFonts w:ascii="宋体" w:hAnsi="宋体" w:cs="宋体"/>
                <w:sz w:val="18"/>
                <w:szCs w:val="18"/>
              </w:rPr>
              <w:t>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可出租面积（㎡）</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累计已出租面积（㎡）</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平均出租率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三湘世纪花城</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上海</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商场+店铺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17,4</w:t>
            </w:r>
            <w:r>
              <w:rPr>
                <w:rFonts w:hint="eastAsia" w:ascii="宋体" w:hAnsi="宋体" w:cs="宋体"/>
                <w:sz w:val="18"/>
                <w:szCs w:val="18"/>
                <w:lang w:val="en-US" w:eastAsia="zh-CN"/>
              </w:rPr>
              <w:t>85.95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宋体" w:hAnsi="宋体" w:cs="宋体"/>
                <w:sz w:val="18"/>
                <w:szCs w:val="18"/>
                <w:lang w:val="en-US"/>
              </w:rPr>
            </w:pPr>
            <w:r>
              <w:rPr>
                <w:rFonts w:hint="eastAsia" w:ascii="宋体" w:hAnsi="宋体" w:cs="宋体"/>
                <w:sz w:val="18"/>
                <w:szCs w:val="18"/>
                <w:lang w:val="en-US" w:eastAsia="zh-CN"/>
              </w:rPr>
              <w:t>17,453.30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99.81</w:t>
            </w:r>
            <w:r>
              <w:rPr>
                <w:rFonts w:ascii="宋体" w:hAnsi="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三湘商业广场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上海</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商场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27,233.18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27,233.18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三湘财富广场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上海</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店铺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16,737.34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11,411.80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68.18%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三湘海尚城</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上海</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店铺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17,643.75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17,564.74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99.55</w:t>
            </w:r>
            <w:r>
              <w:rPr>
                <w:rFonts w:ascii="宋体" w:hAnsi="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三湘海尚名邸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上海</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店铺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3,764.96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2,972.33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hint="eastAsia" w:ascii="宋体" w:hAnsi="宋体" w:cs="宋体"/>
                <w:sz w:val="18"/>
                <w:szCs w:val="18"/>
                <w:lang w:val="en-US" w:eastAsia="zh-CN"/>
              </w:rPr>
              <w:t>78.95</w:t>
            </w:r>
            <w:r>
              <w:rPr>
                <w:rFonts w:ascii="宋体" w:hAnsi="宋体" w:cs="宋体"/>
                <w:sz w:val="18"/>
                <w:szCs w:val="18"/>
              </w:rPr>
              <w:t>%</w:t>
            </w:r>
          </w:p>
        </w:tc>
      </w:tr>
    </w:tbl>
    <w:p>
      <w:pPr>
        <w:spacing w:before="100" w:after="100" w:line="240" w:lineRule="exact"/>
        <w:jc w:val="lef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ascii="宋体" w:hAnsi="宋体" w:cs="宋体"/>
          <w:sz w:val="21"/>
          <w:szCs w:val="21"/>
        </w:rPr>
        <w:t>土地一级开发情况</w:t>
      </w:r>
    </w:p>
    <w:p>
      <w:pPr>
        <w:spacing w:before="100" w:after="100" w:line="240" w:lineRule="exact"/>
        <w:jc w:val="left"/>
        <w:rPr>
          <w:rFonts w:ascii="宋体" w:hAnsi="宋体" w:cs="宋体"/>
          <w:sz w:val="18"/>
          <w:szCs w:val="18"/>
        </w:rPr>
      </w:pPr>
      <w:r>
        <w:rPr>
          <w:rFonts w:ascii="宋体" w:hAnsi="宋体" w:cs="宋体"/>
          <w:sz w:val="18"/>
          <w:szCs w:val="18"/>
        </w:rPr>
        <w:t xml:space="preserve">□适用 </w:t>
      </w:r>
      <w:r>
        <w:rPr>
          <w:rFonts w:ascii="宋体" w:hAnsi="宋体" w:cs="宋体"/>
          <w:sz w:val="18"/>
          <w:szCs w:val="18"/>
        </w:rPr>
        <w:sym w:font="Wingdings 2" w:char="F052"/>
      </w:r>
      <w:r>
        <w:rPr>
          <w:rFonts w:ascii="宋体" w:hAnsi="宋体" w:cs="宋体"/>
          <w:sz w:val="18"/>
          <w:szCs w:val="18"/>
        </w:rPr>
        <w:t>不适用</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right="0" w:rightChars="0"/>
        <w:jc w:val="both"/>
        <w:textAlignment w:val="auto"/>
        <w:rPr>
          <w:rStyle w:val="5"/>
          <w:rFonts w:ascii="宋体" w:hAnsi="宋体" w:cs="宋体"/>
          <w:bCs/>
          <w:color w:val="000000"/>
          <w:sz w:val="21"/>
          <w:szCs w:val="21"/>
        </w:rPr>
      </w:pPr>
      <w:r>
        <w:rPr>
          <w:rStyle w:val="5"/>
          <w:rFonts w:hint="eastAsia" w:ascii="宋体" w:hAnsi="宋体" w:cs="宋体"/>
          <w:bCs/>
          <w:color w:val="000000"/>
          <w:sz w:val="21"/>
          <w:szCs w:val="21"/>
          <w:lang w:val="en-US" w:eastAsia="zh-CN"/>
        </w:rPr>
        <w:t>3、</w:t>
      </w:r>
      <w:r>
        <w:rPr>
          <w:rStyle w:val="5"/>
          <w:rFonts w:hint="eastAsia" w:ascii="宋体" w:hAnsi="宋体" w:cs="宋体"/>
          <w:bCs/>
          <w:color w:val="000000"/>
          <w:sz w:val="21"/>
          <w:szCs w:val="21"/>
        </w:rPr>
        <w:t>融资途径</w:t>
      </w:r>
    </w:p>
    <w:p>
      <w:pPr>
        <w:pStyle w:val="2"/>
        <w:widowControl/>
        <w:spacing w:beforeAutospacing="0" w:afterAutospacing="0" w:line="240" w:lineRule="atLeast"/>
        <w:jc w:val="right"/>
        <w:rPr>
          <w:rStyle w:val="5"/>
          <w:rFonts w:ascii="宋体" w:hAnsi="宋体" w:cs="宋体"/>
          <w:b w:val="0"/>
          <w:color w:val="000000"/>
          <w:sz w:val="18"/>
          <w:szCs w:val="18"/>
        </w:rPr>
      </w:pPr>
      <w:r>
        <w:rPr>
          <w:rStyle w:val="5"/>
          <w:rFonts w:hint="eastAsia" w:ascii="宋体" w:hAnsi="宋体" w:cs="宋体"/>
          <w:b w:val="0"/>
          <w:color w:val="000000"/>
          <w:sz w:val="18"/>
          <w:szCs w:val="18"/>
        </w:rPr>
        <w:t>单位：万元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融资途径</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期末融资余额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融资成本区间/平均融资成本</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期限结构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1年之内</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1-2年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2-3年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3年以上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cs="宋体"/>
                <w:sz w:val="18"/>
                <w:szCs w:val="18"/>
              </w:rPr>
            </w:pPr>
            <w:r>
              <w:rPr>
                <w:rFonts w:ascii="宋体" w:hAnsi="宋体" w:cs="宋体"/>
                <w:sz w:val="18"/>
                <w:szCs w:val="18"/>
              </w:rPr>
              <w:t>银行贷款</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76,893.45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4.15%-7.00%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285.45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34,198.00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17,960.00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24,450.00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cs="宋体"/>
                <w:sz w:val="18"/>
                <w:szCs w:val="18"/>
              </w:rPr>
            </w:pPr>
            <w:r>
              <w:rPr>
                <w:rFonts w:ascii="宋体" w:hAnsi="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76,893.45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sz w:val="18"/>
                <w:szCs w:val="18"/>
              </w:rPr>
            </w:pPr>
            <w:r>
              <w:rPr>
                <w:rFonts w:ascii="宋体" w:hAnsi="宋体" w:cs="宋体"/>
                <w:sz w:val="18"/>
                <w:szCs w:val="18"/>
              </w:rPr>
              <w:t>4.15%-7.00%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285.45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34,198.00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17,960.00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宋体" w:hAnsi="宋体" w:cs="宋体"/>
                <w:sz w:val="18"/>
                <w:szCs w:val="18"/>
              </w:rPr>
            </w:pPr>
            <w:r>
              <w:rPr>
                <w:rFonts w:ascii="宋体" w:hAnsi="宋体" w:cs="宋体"/>
                <w:sz w:val="18"/>
                <w:szCs w:val="18"/>
              </w:rPr>
              <w:t>24,450.00</w:t>
            </w: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156" w:beforeLines="50" w:beforeAutospacing="0" w:afterAutospacing="0" w:line="360" w:lineRule="auto"/>
        <w:ind w:leftChars="200" w:right="0" w:rightChars="0"/>
        <w:jc w:val="both"/>
        <w:textAlignment w:val="auto"/>
        <w:rPr>
          <w:rStyle w:val="5"/>
          <w:rFonts w:ascii="宋体" w:hAnsi="宋体" w:cs="宋体"/>
          <w:bCs/>
          <w:color w:val="000000"/>
          <w:sz w:val="21"/>
          <w:szCs w:val="21"/>
        </w:rPr>
      </w:pPr>
      <w:r>
        <w:rPr>
          <w:rStyle w:val="5"/>
          <w:rFonts w:hint="eastAsia" w:ascii="宋体" w:hAnsi="宋体" w:cs="宋体"/>
          <w:bCs/>
          <w:color w:val="000000"/>
          <w:sz w:val="21"/>
          <w:szCs w:val="21"/>
          <w:lang w:val="en-US" w:eastAsia="zh-CN"/>
        </w:rPr>
        <w:t>4、</w:t>
      </w:r>
      <w:r>
        <w:rPr>
          <w:rStyle w:val="5"/>
          <w:rFonts w:hint="eastAsia" w:ascii="宋体" w:hAnsi="宋体" w:cs="宋体"/>
          <w:bCs/>
          <w:color w:val="000000"/>
          <w:sz w:val="21"/>
          <w:szCs w:val="21"/>
        </w:rPr>
        <w:t>公司发展战略和未来一年经营计划</w:t>
      </w:r>
    </w:p>
    <w:p>
      <w:pPr>
        <w:pStyle w:val="2"/>
        <w:widowControl/>
        <w:spacing w:beforeAutospacing="0" w:afterAutospacing="0" w:line="360" w:lineRule="auto"/>
        <w:ind w:firstLine="420" w:firstLineChars="200"/>
        <w:jc w:val="both"/>
        <w:rPr>
          <w:rFonts w:ascii="宋体" w:hAnsi="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cs="宋体"/>
          <w:b/>
          <w:bCs/>
          <w:sz w:val="21"/>
          <w:szCs w:val="21"/>
        </w:rPr>
        <w:t>公司发展战略</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公司将继续以“加快发展文化产业，稳步发展房地产业，推动两大产业协同发展”为战略指导，通过“文化</w:t>
      </w:r>
      <w:r>
        <w:rPr>
          <w:rFonts w:ascii="Calibri" w:hAnsi="Calibri" w:cs="Calibri"/>
          <w:sz w:val="21"/>
          <w:szCs w:val="21"/>
        </w:rPr>
        <w:t>+</w:t>
      </w:r>
      <w:r>
        <w:rPr>
          <w:rFonts w:hint="eastAsia" w:ascii="宋体" w:hAnsi="宋体" w:cs="宋体"/>
          <w:sz w:val="21"/>
          <w:szCs w:val="21"/>
        </w:rPr>
        <w:t>地产”双向赋能、联动发展，不断寻找新的发展机会、拓展新的产业领域，驱动公司高质量、可持续发展，持续创造更多经济价值和社会价值。</w:t>
      </w:r>
    </w:p>
    <w:p>
      <w:pPr>
        <w:pStyle w:val="2"/>
        <w:widowControl/>
        <w:spacing w:beforeAutospacing="0" w:afterAutospacing="0" w:line="360" w:lineRule="auto"/>
        <w:ind w:firstLine="422"/>
        <w:jc w:val="both"/>
        <w:rPr>
          <w:rFonts w:ascii="Calibri" w:hAnsi="Calibri" w:cs="Calibri"/>
          <w:b/>
          <w:bCs/>
          <w:szCs w:val="24"/>
        </w:rPr>
      </w:pPr>
      <w:r>
        <w:rPr>
          <w:rStyle w:val="5"/>
          <w:rFonts w:hint="eastAsia" w:ascii="宋体" w:hAnsi="宋体" w:cs="宋体"/>
          <w:bCs/>
          <w:color w:val="000000"/>
          <w:sz w:val="21"/>
          <w:szCs w:val="21"/>
          <w:lang w:eastAsia="zh-CN"/>
        </w:rPr>
        <w:t>（</w:t>
      </w:r>
      <w:r>
        <w:rPr>
          <w:rStyle w:val="5"/>
          <w:rFonts w:hint="eastAsia" w:ascii="宋体" w:hAnsi="宋体" w:cs="宋体"/>
          <w:bCs/>
          <w:color w:val="000000"/>
          <w:sz w:val="21"/>
          <w:szCs w:val="21"/>
          <w:lang w:val="en-US" w:eastAsia="zh-CN"/>
        </w:rPr>
        <w:t>2</w:t>
      </w:r>
      <w:r>
        <w:rPr>
          <w:rStyle w:val="5"/>
          <w:rFonts w:hint="eastAsia" w:ascii="宋体" w:hAnsi="宋体" w:cs="宋体"/>
          <w:bCs/>
          <w:color w:val="000000"/>
          <w:sz w:val="21"/>
          <w:szCs w:val="21"/>
          <w:lang w:eastAsia="zh-CN"/>
        </w:rPr>
        <w:t>）</w:t>
      </w:r>
      <w:r>
        <w:rPr>
          <w:rStyle w:val="5"/>
          <w:rFonts w:hint="eastAsia" w:ascii="宋体" w:hAnsi="宋体" w:cs="宋体"/>
          <w:bCs/>
          <w:color w:val="000000"/>
          <w:sz w:val="21"/>
          <w:szCs w:val="21"/>
        </w:rPr>
        <w:t>经营计划</w:t>
      </w:r>
    </w:p>
    <w:p>
      <w:pPr>
        <w:pStyle w:val="2"/>
        <w:widowControl/>
        <w:spacing w:beforeAutospacing="0" w:afterAutospacing="0" w:line="360" w:lineRule="auto"/>
        <w:ind w:firstLine="420" w:firstLineChars="200"/>
        <w:jc w:val="both"/>
        <w:rPr>
          <w:rFonts w:ascii="宋体" w:hAnsi="宋体" w:cs="宋体"/>
          <w:sz w:val="21"/>
          <w:szCs w:val="21"/>
        </w:rPr>
      </w:pPr>
      <w:r>
        <w:rPr>
          <w:rFonts w:hint="eastAsia" w:ascii="宋体" w:hAnsi="宋体" w:cs="宋体"/>
          <w:sz w:val="21"/>
          <w:szCs w:val="21"/>
        </w:rPr>
        <w:t>1）文化业务</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进一步加速公司向数字文旅的转型，做大做强做优文化业务，增强未来发展的延展性。</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 xml:space="preserve">①聚焦高质量发展，坚定推进产业模式创新 </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着力探索 “数字</w:t>
      </w:r>
      <w:r>
        <w:rPr>
          <w:rFonts w:ascii="Calibri" w:hAnsi="Calibri" w:cs="Calibri"/>
          <w:sz w:val="21"/>
          <w:szCs w:val="21"/>
        </w:rPr>
        <w:t>+</w:t>
      </w:r>
      <w:r>
        <w:rPr>
          <w:rFonts w:hint="eastAsia" w:ascii="宋体" w:hAnsi="宋体" w:cs="宋体"/>
          <w:sz w:val="21"/>
          <w:szCs w:val="21"/>
        </w:rPr>
        <w:t>文旅”生态体系，加强自身内容创制优势与高科技、多媒体等前沿技术的结合应用，不断丰富演艺作品的创新性和感染力；积极搭建“投资</w:t>
      </w:r>
      <w:r>
        <w:rPr>
          <w:rFonts w:ascii="Calibri" w:hAnsi="Calibri" w:cs="Calibri"/>
          <w:sz w:val="21"/>
          <w:szCs w:val="21"/>
        </w:rPr>
        <w:t>+</w:t>
      </w:r>
      <w:r>
        <w:rPr>
          <w:rFonts w:hint="eastAsia" w:ascii="宋体" w:hAnsi="宋体" w:cs="宋体"/>
          <w:sz w:val="21"/>
          <w:szCs w:val="21"/>
        </w:rPr>
        <w:t>创制</w:t>
      </w:r>
      <w:r>
        <w:rPr>
          <w:rFonts w:ascii="Calibri" w:hAnsi="Calibri" w:cs="Calibri"/>
          <w:sz w:val="21"/>
          <w:szCs w:val="21"/>
        </w:rPr>
        <w:t>+</w:t>
      </w:r>
      <w:r>
        <w:rPr>
          <w:rFonts w:hint="eastAsia" w:ascii="宋体" w:hAnsi="宋体" w:cs="宋体"/>
          <w:sz w:val="21"/>
          <w:szCs w:val="21"/>
        </w:rPr>
        <w:t>运营”一体化流程和相关团队，深度参与文化项目运营管理；积极探索以演艺项目为核心的小型文旅综合体开发，进一步增加文化业务的收入和利润。</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②进一步推进新项目储备。加快构建多层次、多元化的文化产品体系；继续积极拓展海内外市场，挖掘潜在目标市场。</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③做好存量项目维护，多措并举保障公司知识产权收益。</w:t>
      </w:r>
    </w:p>
    <w:p>
      <w:pPr>
        <w:pStyle w:val="2"/>
        <w:widowControl/>
        <w:spacing w:beforeAutospacing="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2）房地产业务</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推进燕郊项目建设和销售，提高产出水平，加快回笼资金，创造利润；加快上海、杭州等地的资产去化。</w:t>
      </w:r>
    </w:p>
    <w:p>
      <w:pPr>
        <w:pStyle w:val="2"/>
        <w:widowControl/>
        <w:spacing w:beforeAutospacing="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3）产业投资</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结合城市更新以及新能源、大健康等领域的投资机遇，拓展新项目，创造新增长点，为公司可持续发展积蓄动能。</w:t>
      </w:r>
    </w:p>
    <w:p>
      <w:pPr>
        <w:pStyle w:val="2"/>
        <w:widowControl/>
        <w:spacing w:beforeAutospacing="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4）内部管理</w:t>
      </w:r>
    </w:p>
    <w:p>
      <w:pPr>
        <w:pStyle w:val="2"/>
        <w:widowControl/>
        <w:spacing w:beforeAutospacing="0" w:afterAutospacing="0" w:line="360" w:lineRule="auto"/>
        <w:ind w:firstLine="420" w:firstLineChars="200"/>
        <w:jc w:val="both"/>
        <w:rPr>
          <w:rFonts w:ascii="Calibri" w:hAnsi="Calibri" w:cs="Calibri"/>
          <w:sz w:val="21"/>
          <w:szCs w:val="21"/>
        </w:rPr>
      </w:pPr>
      <w:r>
        <w:rPr>
          <w:rFonts w:hint="eastAsia" w:ascii="宋体" w:hAnsi="宋体" w:cs="宋体"/>
          <w:sz w:val="21"/>
          <w:szCs w:val="21"/>
        </w:rPr>
        <w:t>扎实开展全面预算管理；积极推进资本市场再融资，争取改善现金流，保障在建项目顺利交楼；提高运营效率和合规管理水平，并提升公司综合竞争力。</w:t>
      </w: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rPr>
          <w:rStyle w:val="5"/>
          <w:rFonts w:hint="eastAsia" w:ascii="宋体" w:hAnsi="宋体" w:eastAsia="宋体" w:cs="宋体"/>
          <w:bCs/>
          <w:color w:val="000000"/>
          <w:sz w:val="21"/>
          <w:szCs w:val="21"/>
        </w:rPr>
      </w:pPr>
      <w:r>
        <w:rPr>
          <w:rStyle w:val="5"/>
          <w:rFonts w:hint="eastAsia" w:ascii="宋体" w:hAnsi="宋体" w:eastAsia="宋体" w:cs="宋体"/>
          <w:bCs/>
          <w:color w:val="000000"/>
          <w:sz w:val="21"/>
          <w:szCs w:val="21"/>
          <w:lang w:val="en-US" w:eastAsia="zh-CN"/>
        </w:rPr>
        <w:t>5、</w:t>
      </w:r>
      <w:r>
        <w:rPr>
          <w:rStyle w:val="5"/>
          <w:rFonts w:hint="eastAsia" w:ascii="宋体" w:hAnsi="宋体" w:eastAsia="宋体" w:cs="宋体"/>
          <w:bCs/>
          <w:color w:val="000000"/>
          <w:sz w:val="21"/>
          <w:szCs w:val="21"/>
        </w:rPr>
        <w:t>向商品房承购人因银行抵押贷款提供担保</w:t>
      </w:r>
    </w:p>
    <w:p>
      <w:pPr>
        <w:spacing w:before="100" w:after="100" w:line="240" w:lineRule="exact"/>
        <w:ind w:firstLine="500"/>
        <w:jc w:val="left"/>
        <w:rPr>
          <w:rFonts w:ascii="宋体" w:hAnsi="宋体" w:cs="宋体"/>
          <w:sz w:val="18"/>
          <w:szCs w:val="18"/>
        </w:rPr>
      </w:pPr>
      <w:r>
        <w:rPr>
          <w:rFonts w:ascii="宋体" w:hAnsi="宋体" w:cs="宋体"/>
          <w:sz w:val="18"/>
          <w:szCs w:val="18"/>
        </w:rPr>
        <w:sym w:font="Wingdings 2" w:char="F052"/>
      </w:r>
      <w:r>
        <w:rPr>
          <w:rFonts w:ascii="宋体" w:hAnsi="宋体" w:cs="宋体"/>
          <w:sz w:val="18"/>
          <w:szCs w:val="18"/>
        </w:rPr>
        <w:t>适用 □不适用</w:t>
      </w:r>
    </w:p>
    <w:p>
      <w:pPr>
        <w:pStyle w:val="2"/>
        <w:widowControl/>
        <w:spacing w:beforeAutospacing="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截至2023年6月30日，本公司为客户购房按揭贷款提供的阶段性担保总额为205,187.70万元。</w:t>
      </w:r>
    </w:p>
    <w:p>
      <w:pPr>
        <w:keepNext/>
        <w:keepLines/>
        <w:pageBreakBefore w:val="0"/>
        <w:widowControl w:val="0"/>
        <w:kinsoku/>
        <w:wordWrap/>
        <w:overflowPunct/>
        <w:topLinePunct w:val="0"/>
        <w:autoSpaceDE/>
        <w:autoSpaceDN/>
        <w:bidi w:val="0"/>
        <w:adjustRightInd/>
        <w:snapToGrid/>
        <w:spacing w:before="200" w:after="200" w:line="320" w:lineRule="exact"/>
        <w:ind w:firstLine="420" w:firstLineChars="200"/>
        <w:jc w:val="left"/>
        <w:textAlignment w:val="auto"/>
        <w:outlineLvl w:val="1"/>
        <w:rPr>
          <w:rFonts w:ascii="宋体" w:hAnsi="宋体" w:eastAsia="宋体" w:cs="宋体"/>
          <w:b/>
          <w:bCs/>
          <w:sz w:val="21"/>
          <w:szCs w:val="21"/>
        </w:rPr>
      </w:pPr>
      <w:r>
        <w:rPr>
          <w:rFonts w:ascii="宋体" w:hAnsi="宋体" w:eastAsia="宋体" w:cs="宋体"/>
          <w:b/>
          <w:bCs/>
          <w:sz w:val="21"/>
          <w:szCs w:val="21"/>
        </w:rPr>
        <w:t>（二）报告期内其他重大事项的说明</w:t>
      </w:r>
    </w:p>
    <w:tbl>
      <w:tblPr>
        <w:tblStyle w:val="3"/>
        <w:tblW w:w="994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9"/>
        <w:gridCol w:w="3269"/>
        <w:gridCol w:w="1417"/>
        <w:gridCol w:w="3119"/>
        <w:gridCol w:w="15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single" w:color="auto" w:sz="8" w:space="0"/>
              <w:left w:val="single" w:color="auto" w:sz="8" w:space="0"/>
              <w:bottom w:val="single" w:color="auto" w:sz="8" w:space="0"/>
              <w:right w:val="single" w:color="auto" w:sz="8" w:space="0"/>
            </w:tcBorders>
            <w:shd w:val="clear" w:color="auto" w:fill="D9D9D9"/>
            <w:tcMar>
              <w:top w:w="10" w:type="dxa"/>
              <w:left w:w="10" w:type="dxa"/>
              <w:bottom w:w="10" w:type="dxa"/>
              <w:right w:w="10" w:type="dxa"/>
            </w:tcMar>
            <w:vAlign w:val="top"/>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color w:val="000000"/>
                <w:sz w:val="18"/>
                <w:szCs w:val="18"/>
              </w:rPr>
              <w:t>序号</w:t>
            </w:r>
          </w:p>
        </w:tc>
        <w:tc>
          <w:tcPr>
            <w:tcW w:w="3269" w:type="dxa"/>
            <w:tcBorders>
              <w:top w:val="single" w:color="auto" w:sz="8" w:space="0"/>
              <w:left w:val="nil"/>
              <w:bottom w:val="single" w:color="auto" w:sz="8" w:space="0"/>
              <w:right w:val="single" w:color="auto" w:sz="8" w:space="0"/>
            </w:tcBorders>
            <w:shd w:val="clear" w:color="auto" w:fill="D9D9D9"/>
            <w:tcMar>
              <w:top w:w="10" w:type="dxa"/>
              <w:left w:w="10" w:type="dxa"/>
              <w:bottom w:w="10" w:type="dxa"/>
              <w:right w:w="10" w:type="dxa"/>
            </w:tcMar>
            <w:vAlign w:val="top"/>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color w:val="000000"/>
                <w:sz w:val="18"/>
                <w:szCs w:val="18"/>
              </w:rPr>
              <w:t>重大事项</w:t>
            </w:r>
          </w:p>
        </w:tc>
        <w:tc>
          <w:tcPr>
            <w:tcW w:w="1417" w:type="dxa"/>
            <w:tcBorders>
              <w:top w:val="single" w:color="auto" w:sz="8" w:space="0"/>
              <w:left w:val="nil"/>
              <w:bottom w:val="single" w:color="auto" w:sz="8" w:space="0"/>
              <w:right w:val="single" w:color="auto" w:sz="8" w:space="0"/>
            </w:tcBorders>
            <w:shd w:val="clear" w:color="auto" w:fill="D9D9D9"/>
            <w:tcMar>
              <w:top w:w="10" w:type="dxa"/>
              <w:left w:w="10" w:type="dxa"/>
              <w:bottom w:w="10" w:type="dxa"/>
              <w:right w:w="10" w:type="dxa"/>
            </w:tcMar>
            <w:vAlign w:val="top"/>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color w:val="000000"/>
                <w:sz w:val="18"/>
                <w:szCs w:val="18"/>
              </w:rPr>
              <w:t>公告编号</w:t>
            </w:r>
          </w:p>
        </w:tc>
        <w:tc>
          <w:tcPr>
            <w:tcW w:w="3119" w:type="dxa"/>
            <w:tcBorders>
              <w:top w:val="single" w:color="auto" w:sz="8" w:space="0"/>
              <w:left w:val="nil"/>
              <w:bottom w:val="single" w:color="auto" w:sz="8" w:space="0"/>
              <w:right w:val="single" w:color="auto" w:sz="8" w:space="0"/>
            </w:tcBorders>
            <w:shd w:val="clear" w:color="auto" w:fill="D9D9D9"/>
            <w:tcMar>
              <w:top w:w="10" w:type="dxa"/>
              <w:left w:w="10" w:type="dxa"/>
              <w:bottom w:w="10" w:type="dxa"/>
              <w:right w:w="10" w:type="dxa"/>
            </w:tcMar>
            <w:vAlign w:val="top"/>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color w:val="000000"/>
                <w:sz w:val="18"/>
                <w:szCs w:val="18"/>
              </w:rPr>
              <w:t>信息披露索引</w:t>
            </w:r>
          </w:p>
        </w:tc>
        <w:tc>
          <w:tcPr>
            <w:tcW w:w="1591" w:type="dxa"/>
            <w:tcBorders>
              <w:top w:val="single" w:color="auto" w:sz="8" w:space="0"/>
              <w:left w:val="nil"/>
              <w:bottom w:val="single" w:color="auto" w:sz="8" w:space="0"/>
              <w:right w:val="single" w:color="auto" w:sz="8" w:space="0"/>
            </w:tcBorders>
            <w:shd w:val="clear" w:color="auto" w:fill="D9D9D9"/>
            <w:tcMar>
              <w:top w:w="10" w:type="dxa"/>
              <w:left w:w="10" w:type="dxa"/>
              <w:bottom w:w="10" w:type="dxa"/>
              <w:right w:w="10" w:type="dxa"/>
            </w:tcMar>
            <w:vAlign w:val="top"/>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color w:val="000000"/>
                <w:sz w:val="18"/>
                <w:szCs w:val="18"/>
              </w:rPr>
              <w:t>披露日期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关于公司诉讼的进展公告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2023-003</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2023年1月14日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关于控股股东部分股份解除质押的公告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2023-004</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2023年1月18日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3</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2022年年度业绩预告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2023-005</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2023年1月20日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4</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关于董事减持股份预披露公告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2023-006</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2023年1月20日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6</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关于公司诉讼的进展公告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2023-009</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2023年3月14日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7</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关于控股股东和实际控制人减持计划期限届满公告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2023-010</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2023年3月17日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8</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关于控股股东和实际控制人减持股份预披露公告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2023-011</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2023年3月17日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9</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关于子公司为子公司提供担保的公告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2023-012</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2023年3月29日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10</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关于控股股东减持股份达到1%的公告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2023-013</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2023年4月15日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11</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关于2022年度计提减值准备的公告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2023-021</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both"/>
              <w:rPr>
                <w:rFonts w:hint="eastAsia" w:ascii="宋体" w:hAnsi="宋体" w:eastAsia="宋体" w:cs="宋体"/>
                <w:sz w:val="24"/>
                <w:szCs w:val="24"/>
              </w:rPr>
            </w:pPr>
            <w:r>
              <w:rPr>
                <w:rFonts w:hint="eastAsia" w:ascii="宋体" w:hAnsi="宋体" w:eastAsia="宋体" w:cs="宋体"/>
                <w:sz w:val="18"/>
                <w:szCs w:val="18"/>
              </w:rPr>
              <w:t>2023年4月25日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12</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关于注销部分回购股份及减少注册资本的公告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2023-022</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2023年4月25日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13</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关于调整公司向特定对象发行股票方案的公告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r>
              <w:rPr>
                <w:rFonts w:hint="eastAsia" w:ascii="宋体" w:hAnsi="宋体" w:eastAsia="宋体" w:cs="宋体"/>
                <w:sz w:val="18"/>
                <w:szCs w:val="18"/>
              </w:rPr>
              <w:t>2023-028</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2023年5月5日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14</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关于注销部分回购股份及减少注册资本暨通知债权人的公告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2023-033</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2023年5月17日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15</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关于董事股份减持计划时间过半进展公告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2023-034</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2023年5月18日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16</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关于公司诉讼的进展公告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2023-035</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2023年5月20日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17</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关于回购股份注销完成暨股份变动的公告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2023-036</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2023年6月2日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18</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关于控股股东和实际控制人减持计划数量过半的进展公告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2023-037</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2023年6月21日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19</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关于控股股东及实际控制人权益变动超过1%的公告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2023-038</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2023年6月27日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9"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宋体" w:hAnsi="宋体" w:eastAsia="宋体" w:cs="宋体"/>
                <w:sz w:val="18"/>
                <w:szCs w:val="18"/>
              </w:rPr>
              <w:t>20</w:t>
            </w:r>
          </w:p>
        </w:tc>
        <w:tc>
          <w:tcPr>
            <w:tcW w:w="326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关于向特定对象发行股票申请获得深圳证券交易所受理的公告</w:t>
            </w:r>
          </w:p>
        </w:tc>
        <w:tc>
          <w:tcPr>
            <w:tcW w:w="1417"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2023-039</w:t>
            </w:r>
          </w:p>
        </w:tc>
        <w:tc>
          <w:tcPr>
            <w:tcW w:w="3119"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巨潮资讯网、《证券时报》《中国证券报》《上海证券报》《证券日报》</w:t>
            </w:r>
          </w:p>
        </w:tc>
        <w:tc>
          <w:tcPr>
            <w:tcW w:w="1591"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2"/>
              <w:keepNext w:val="0"/>
              <w:keepLines w:val="0"/>
              <w:widowControl/>
              <w:suppressLineNumbers w:val="0"/>
              <w:spacing w:before="40" w:beforeAutospacing="0" w:after="40" w:afterAutospacing="0"/>
              <w:jc w:val="both"/>
              <w:rPr>
                <w:rFonts w:hint="eastAsia" w:ascii="宋体" w:hAnsi="宋体" w:eastAsia="宋体" w:cs="宋体"/>
                <w:sz w:val="24"/>
                <w:szCs w:val="24"/>
              </w:rPr>
            </w:pPr>
            <w:r>
              <w:rPr>
                <w:rFonts w:hint="eastAsia" w:ascii="宋体" w:hAnsi="宋体" w:eastAsia="宋体" w:cs="宋体"/>
                <w:sz w:val="18"/>
                <w:szCs w:val="18"/>
              </w:rPr>
              <w:t>2023年6月30日</w:t>
            </w:r>
          </w:p>
        </w:tc>
      </w:tr>
    </w:tbl>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三湘印象股份有限公司2023年半年度报告摘要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B650"/>
    <w:multiLevelType w:val="singleLevel"/>
    <w:tmpl w:val="0075B6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
  <w:docVars>
    <w:docVar w:name="commondata" w:val="eyJoZGlkIjoiZTQ4ODQwNThiYTg4YTBlNDhkZDRmNGNiNWM5NWE1YzAifQ=="/>
  </w:docVars>
  <w:rsids>
    <w:rsidRoot w:val="00000000"/>
    <w:rsid w:val="057C19CF"/>
    <w:rsid w:val="058663AA"/>
    <w:rsid w:val="088A61B1"/>
    <w:rsid w:val="0B0C7351"/>
    <w:rsid w:val="180D01D7"/>
    <w:rsid w:val="21F55ACE"/>
    <w:rsid w:val="25B34B41"/>
    <w:rsid w:val="277F5091"/>
    <w:rsid w:val="2996630C"/>
    <w:rsid w:val="32AA62DC"/>
    <w:rsid w:val="38482EC7"/>
    <w:rsid w:val="44F45DC9"/>
    <w:rsid w:val="4C111173"/>
    <w:rsid w:val="4DCD5EF0"/>
    <w:rsid w:val="531421A1"/>
    <w:rsid w:val="57A071CB"/>
    <w:rsid w:val="5F131BD1"/>
    <w:rsid w:val="6A7C7D88"/>
    <w:rsid w:val="6B947BF6"/>
    <w:rsid w:val="70984CA7"/>
    <w:rsid w:val="75947170"/>
    <w:rsid w:val="7F5A2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2023-08-25T08:36:00Z</dcterms:created>
  <dc:creator>dsb</dc:creator>
  <cp:lastModifiedBy>Sarah</cp:lastModifiedBy>
  <dcterms:modified xsi:type="dcterms:W3CDTF">2023-08-28T06:25:59Z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25EBF0DA2029401DA8C0853C547A8769_12</vt:lpwstr>
  </property>
</Properties>
</file>