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01DD3" w14:textId="0201D302" w:rsidR="00764ACD" w:rsidRDefault="0095192E">
      <w:pPr>
        <w:autoSpaceDE w:val="0"/>
        <w:autoSpaceDN w:val="0"/>
        <w:adjustRightInd w:val="0"/>
        <w:spacing w:line="360" w:lineRule="auto"/>
        <w:jc w:val="center"/>
        <w:rPr>
          <w:color w:val="000000"/>
          <w:sz w:val="24"/>
        </w:rPr>
      </w:pPr>
      <w:r>
        <w:rPr>
          <w:rFonts w:hint="eastAsia"/>
          <w:color w:val="000000"/>
          <w:sz w:val="24"/>
        </w:rPr>
        <w:t>证券代码：000863       证券简称：三湘印象       公告编号：</w:t>
      </w:r>
      <w:r>
        <w:rPr>
          <w:color w:val="000000"/>
          <w:sz w:val="24"/>
        </w:rPr>
        <w:t>2022-0</w:t>
      </w:r>
      <w:r w:rsidR="00820F66">
        <w:rPr>
          <w:color w:val="000000"/>
          <w:sz w:val="24"/>
        </w:rPr>
        <w:t>56</w:t>
      </w:r>
    </w:p>
    <w:p w14:paraId="33250F47" w14:textId="77777777" w:rsidR="00764ACD" w:rsidRDefault="0095192E">
      <w:pPr>
        <w:spacing w:beforeLines="50" w:before="156"/>
        <w:jc w:val="center"/>
        <w:rPr>
          <w:b/>
          <w:color w:val="FF0000"/>
          <w:sz w:val="32"/>
        </w:rPr>
      </w:pPr>
      <w:r>
        <w:rPr>
          <w:rFonts w:hint="eastAsia"/>
          <w:b/>
          <w:color w:val="FF0000"/>
          <w:sz w:val="32"/>
        </w:rPr>
        <w:t>三湘印象股份有限公司</w:t>
      </w:r>
    </w:p>
    <w:p w14:paraId="2FC7F8A7" w14:textId="77777777" w:rsidR="00764ACD" w:rsidRDefault="0095192E">
      <w:pPr>
        <w:spacing w:afterLines="50" w:after="156"/>
        <w:jc w:val="center"/>
        <w:rPr>
          <w:b/>
          <w:color w:val="FF0000"/>
          <w:sz w:val="32"/>
        </w:rPr>
      </w:pPr>
      <w:r>
        <w:rPr>
          <w:rFonts w:hint="eastAsia"/>
          <w:b/>
          <w:color w:val="FF0000"/>
          <w:sz w:val="32"/>
        </w:rPr>
        <w:t>关于</w:t>
      </w:r>
      <w:r>
        <w:rPr>
          <w:b/>
          <w:color w:val="FF0000"/>
          <w:sz w:val="32"/>
        </w:rPr>
        <w:t>为</w:t>
      </w:r>
      <w:r>
        <w:rPr>
          <w:rFonts w:hint="eastAsia"/>
          <w:b/>
          <w:color w:val="FF0000"/>
          <w:sz w:val="32"/>
        </w:rPr>
        <w:t>子公司提供担保的公告</w:t>
      </w:r>
    </w:p>
    <w:p w14:paraId="259ADAB0" w14:textId="77777777" w:rsidR="00764ACD" w:rsidRDefault="0095192E">
      <w:pPr>
        <w:autoSpaceDE w:val="0"/>
        <w:autoSpaceDN w:val="0"/>
        <w:adjustRightInd w:val="0"/>
        <w:jc w:val="center"/>
        <w:rPr>
          <w:color w:val="000000"/>
        </w:rPr>
      </w:pPr>
      <w:r>
        <w:rPr>
          <w:noProof/>
        </w:rPr>
        <mc:AlternateContent>
          <mc:Choice Requires="wps">
            <w:drawing>
              <wp:anchor distT="0" distB="0" distL="114300" distR="114300" simplePos="0" relativeHeight="251659264" behindDoc="0" locked="0" layoutInCell="1" allowOverlap="1" wp14:anchorId="07F80EA4" wp14:editId="525666F2">
                <wp:simplePos x="0" y="0"/>
                <wp:positionH relativeFrom="column">
                  <wp:posOffset>-29210</wp:posOffset>
                </wp:positionH>
                <wp:positionV relativeFrom="paragraph">
                  <wp:posOffset>38735</wp:posOffset>
                </wp:positionV>
                <wp:extent cx="5372100" cy="494030"/>
                <wp:effectExtent l="0" t="0" r="19050" b="2032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94030"/>
                        </a:xfrm>
                        <a:prstGeom prst="rect">
                          <a:avLst/>
                        </a:prstGeom>
                        <a:solidFill>
                          <a:srgbClr val="FFFFFF"/>
                        </a:solidFill>
                        <a:ln w="6350">
                          <a:solidFill>
                            <a:srgbClr val="000000"/>
                          </a:solidFill>
                          <a:miter lim="800000"/>
                        </a:ln>
                      </wps:spPr>
                      <wps:txbx>
                        <w:txbxContent>
                          <w:p w14:paraId="702F7638" w14:textId="77777777" w:rsidR="00764ACD" w:rsidRDefault="0095192E">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本公司及董事会全体成员保证信息披露的内容真实、准确、完整，没有虚假记载、误导性陈述或重大遗漏。</w:t>
                            </w:r>
                          </w:p>
                        </w:txbxContent>
                      </wps:txbx>
                      <wps:bodyPr rot="0" vert="horz" wrap="square" lIns="91440" tIns="45720" rIns="91440" bIns="45720" anchor="t" anchorCtr="0" upright="1">
                        <a:noAutofit/>
                      </wps:bodyPr>
                    </wps:wsp>
                  </a:graphicData>
                </a:graphic>
              </wp:anchor>
            </w:drawing>
          </mc:Choice>
          <mc:Fallback>
            <w:pict>
              <v:rect w14:anchorId="07F80EA4" id="Rectangle 22" o:spid="_x0000_s1026" style="position:absolute;left:0;text-align:left;margin-left:-2.3pt;margin-top:3.05pt;width:423pt;height:38.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" strokeweight=".5pt">
                <v:textbox>
                  <w:txbxContent>
                    <w:p w14:paraId="702F7638" w14:textId="77777777" w:rsidR="00764ACD" w:rsidRDefault="0095192E">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本公司及董事会全体成员保证信息披露的内容真实、准确、完整，没有虚假记载、误导性陈述或重大遗漏。</w:t>
                      </w:r>
                    </w:p>
                  </w:txbxContent>
                </v:textbox>
              </v:rect>
            </w:pict>
          </mc:Fallback>
        </mc:AlternateContent>
      </w:r>
    </w:p>
    <w:p w14:paraId="40C4585F" w14:textId="77777777" w:rsidR="00764ACD" w:rsidRDefault="00764ACD">
      <w:pPr>
        <w:ind w:firstLineChars="200" w:firstLine="482"/>
        <w:rPr>
          <w:b/>
          <w:sz w:val="24"/>
        </w:rPr>
      </w:pPr>
    </w:p>
    <w:p w14:paraId="477F0476" w14:textId="77777777" w:rsidR="00764ACD" w:rsidRDefault="0095192E">
      <w:pPr>
        <w:spacing w:beforeLines="50" w:before="156" w:line="480" w:lineRule="exact"/>
        <w:ind w:firstLineChars="200" w:firstLine="482"/>
        <w:rPr>
          <w:b/>
          <w:color w:val="000000"/>
          <w:sz w:val="24"/>
        </w:rPr>
      </w:pPr>
      <w:r>
        <w:rPr>
          <w:rFonts w:hint="eastAsia"/>
          <w:b/>
          <w:sz w:val="24"/>
        </w:rPr>
        <w:t>一、担保情况概述</w:t>
      </w:r>
    </w:p>
    <w:p w14:paraId="6EDAF570" w14:textId="47737109" w:rsidR="00764ACD" w:rsidRDefault="0095192E">
      <w:pPr>
        <w:snapToGrid w:val="0"/>
        <w:spacing w:line="480" w:lineRule="exact"/>
        <w:ind w:firstLineChars="200" w:firstLine="480"/>
        <w:rPr>
          <w:sz w:val="24"/>
        </w:rPr>
      </w:pPr>
      <w:r>
        <w:rPr>
          <w:rFonts w:hint="eastAsia"/>
          <w:sz w:val="24"/>
        </w:rPr>
        <w:t>三湘印象股份有限公司（以下简称“公司”或“本公司”）于20</w:t>
      </w:r>
      <w:r>
        <w:rPr>
          <w:sz w:val="24"/>
        </w:rPr>
        <w:t>22</w:t>
      </w:r>
      <w:r>
        <w:rPr>
          <w:rFonts w:hint="eastAsia"/>
          <w:sz w:val="24"/>
        </w:rPr>
        <w:t>年</w:t>
      </w:r>
      <w:r>
        <w:rPr>
          <w:sz w:val="24"/>
        </w:rPr>
        <w:t>4</w:t>
      </w:r>
      <w:r>
        <w:rPr>
          <w:rFonts w:hint="eastAsia"/>
          <w:sz w:val="24"/>
        </w:rPr>
        <w:t>月</w:t>
      </w:r>
      <w:r>
        <w:rPr>
          <w:sz w:val="24"/>
        </w:rPr>
        <w:t>2</w:t>
      </w:r>
      <w:r w:rsidR="00046D5C">
        <w:rPr>
          <w:sz w:val="24"/>
        </w:rPr>
        <w:t>8</w:t>
      </w:r>
      <w:r>
        <w:rPr>
          <w:rFonts w:hint="eastAsia"/>
          <w:sz w:val="24"/>
        </w:rPr>
        <w:t>日和2</w:t>
      </w:r>
      <w:r>
        <w:rPr>
          <w:sz w:val="24"/>
        </w:rPr>
        <w:t>022年</w:t>
      </w:r>
      <w:r>
        <w:rPr>
          <w:rFonts w:hint="eastAsia"/>
          <w:sz w:val="24"/>
        </w:rPr>
        <w:t>5月</w:t>
      </w:r>
      <w:r>
        <w:rPr>
          <w:sz w:val="24"/>
        </w:rPr>
        <w:t>16日分别</w:t>
      </w:r>
      <w:r>
        <w:rPr>
          <w:rFonts w:hint="eastAsia"/>
          <w:sz w:val="24"/>
        </w:rPr>
        <w:t>召开第八届董事会第八次（临时）会议和2</w:t>
      </w:r>
      <w:r>
        <w:rPr>
          <w:sz w:val="24"/>
        </w:rPr>
        <w:t>022年第一次临时股东大会</w:t>
      </w:r>
      <w:r>
        <w:rPr>
          <w:rFonts w:hint="eastAsia"/>
          <w:sz w:val="24"/>
        </w:rPr>
        <w:t>，</w:t>
      </w:r>
      <w:r>
        <w:rPr>
          <w:sz w:val="24"/>
        </w:rPr>
        <w:t>审议通过了</w:t>
      </w:r>
      <w:bookmarkStart w:id="0" w:name="_Hlk40184043"/>
      <w:r>
        <w:rPr>
          <w:sz w:val="24"/>
        </w:rPr>
        <w:t>《</w:t>
      </w:r>
      <w:r>
        <w:rPr>
          <w:rFonts w:hint="eastAsia"/>
          <w:sz w:val="24"/>
        </w:rPr>
        <w:t>关于</w:t>
      </w:r>
      <w:r>
        <w:rPr>
          <w:sz w:val="24"/>
        </w:rPr>
        <w:t>2022年度预计新增对外担保事项的议案》</w:t>
      </w:r>
      <w:r>
        <w:rPr>
          <w:rFonts w:hint="eastAsia"/>
          <w:sz w:val="24"/>
        </w:rPr>
        <w:t>，</w:t>
      </w:r>
      <w:r>
        <w:rPr>
          <w:sz w:val="24"/>
        </w:rPr>
        <w:t>公司2022年度新增融资担保（包括银行贷款担保和其他对外融资担</w:t>
      </w:r>
      <w:r>
        <w:rPr>
          <w:rFonts w:hint="eastAsia"/>
          <w:sz w:val="24"/>
        </w:rPr>
        <w:t>保）预计不超过人民币</w:t>
      </w:r>
      <w:r>
        <w:rPr>
          <w:sz w:val="24"/>
        </w:rPr>
        <w:t>15亿元</w:t>
      </w:r>
      <w:r>
        <w:rPr>
          <w:rFonts w:hint="eastAsia"/>
          <w:sz w:val="24"/>
        </w:rPr>
        <w:t>，</w:t>
      </w:r>
      <w:r>
        <w:rPr>
          <w:sz w:val="24"/>
        </w:rPr>
        <w:t>其中资产负债率超过70%的子公司预计额度11.5亿元，</w:t>
      </w:r>
      <w:r>
        <w:rPr>
          <w:rFonts w:hint="eastAsia"/>
          <w:sz w:val="24"/>
        </w:rPr>
        <w:t>资产负债率不超过</w:t>
      </w:r>
      <w:r>
        <w:rPr>
          <w:sz w:val="24"/>
        </w:rPr>
        <w:t>70%的子公司预计额度</w:t>
      </w:r>
      <w:r>
        <w:rPr>
          <w:rFonts w:hint="eastAsia"/>
          <w:sz w:val="24"/>
        </w:rPr>
        <w:t>3</w:t>
      </w:r>
      <w:r>
        <w:rPr>
          <w:sz w:val="24"/>
        </w:rPr>
        <w:t>.5亿元</w:t>
      </w:r>
      <w:r>
        <w:rPr>
          <w:rFonts w:hint="eastAsia"/>
          <w:sz w:val="24"/>
        </w:rPr>
        <w:t>，上述担保事项</w:t>
      </w:r>
      <w:r>
        <w:rPr>
          <w:color w:val="000000"/>
          <w:sz w:val="24"/>
        </w:rPr>
        <w:t>授权有效期为自</w:t>
      </w:r>
      <w:r>
        <w:rPr>
          <w:rFonts w:ascii="Times New Roman" w:hAnsi="Times New Roman"/>
          <w:color w:val="000000"/>
          <w:sz w:val="24"/>
        </w:rPr>
        <w:t>2022</w:t>
      </w:r>
      <w:r>
        <w:rPr>
          <w:color w:val="000000"/>
          <w:sz w:val="24"/>
        </w:rPr>
        <w:t>年第一次临时股东大会审议通过之日起的十二个月以内</w:t>
      </w:r>
      <w:r>
        <w:rPr>
          <w:rFonts w:hint="eastAsia"/>
          <w:sz w:val="24"/>
        </w:rPr>
        <w:t>。有关公告内容详见公司于20</w:t>
      </w:r>
      <w:r>
        <w:rPr>
          <w:sz w:val="24"/>
        </w:rPr>
        <w:t>22</w:t>
      </w:r>
      <w:r>
        <w:rPr>
          <w:rFonts w:hint="eastAsia"/>
          <w:sz w:val="24"/>
        </w:rPr>
        <w:t>年4月3</w:t>
      </w:r>
      <w:r>
        <w:rPr>
          <w:sz w:val="24"/>
        </w:rPr>
        <w:t>0</w:t>
      </w:r>
      <w:r>
        <w:rPr>
          <w:rFonts w:hint="eastAsia"/>
          <w:sz w:val="24"/>
        </w:rPr>
        <w:t>日和2</w:t>
      </w:r>
      <w:r>
        <w:rPr>
          <w:sz w:val="24"/>
        </w:rPr>
        <w:t>022年</w:t>
      </w:r>
      <w:r>
        <w:rPr>
          <w:rFonts w:hint="eastAsia"/>
          <w:sz w:val="24"/>
        </w:rPr>
        <w:t>5月1</w:t>
      </w:r>
      <w:r>
        <w:rPr>
          <w:sz w:val="24"/>
        </w:rPr>
        <w:t>7日</w:t>
      </w:r>
      <w:r>
        <w:rPr>
          <w:rFonts w:hint="eastAsia"/>
          <w:sz w:val="24"/>
        </w:rPr>
        <w:t>在</w:t>
      </w:r>
      <w:r>
        <w:rPr>
          <w:color w:val="000000"/>
          <w:sz w:val="24"/>
        </w:rPr>
        <w:t>巨潮资讯网（www.cninfo.com.cn）上</w:t>
      </w:r>
      <w:r>
        <w:rPr>
          <w:rFonts w:hint="eastAsia"/>
          <w:sz w:val="24"/>
        </w:rPr>
        <w:t>披露的</w:t>
      </w:r>
      <w:r>
        <w:rPr>
          <w:sz w:val="24"/>
        </w:rPr>
        <w:t>《</w:t>
      </w:r>
      <w:r>
        <w:rPr>
          <w:rFonts w:hint="eastAsia"/>
          <w:sz w:val="24"/>
        </w:rPr>
        <w:t>关于</w:t>
      </w:r>
      <w:r>
        <w:rPr>
          <w:sz w:val="24"/>
        </w:rPr>
        <w:t>2022年度预计新增对外担保事项的公告》</w:t>
      </w:r>
      <w:r>
        <w:rPr>
          <w:rFonts w:hint="eastAsia"/>
          <w:sz w:val="24"/>
        </w:rPr>
        <w:t>（公告编号：20</w:t>
      </w:r>
      <w:r>
        <w:rPr>
          <w:sz w:val="24"/>
        </w:rPr>
        <w:t>22</w:t>
      </w:r>
      <w:r>
        <w:rPr>
          <w:rFonts w:hint="eastAsia"/>
          <w:sz w:val="24"/>
        </w:rPr>
        <w:t>-0</w:t>
      </w:r>
      <w:r>
        <w:rPr>
          <w:sz w:val="24"/>
        </w:rPr>
        <w:t>19</w:t>
      </w:r>
      <w:r>
        <w:rPr>
          <w:rFonts w:hint="eastAsia"/>
          <w:sz w:val="24"/>
        </w:rPr>
        <w:t>）和《</w:t>
      </w:r>
      <w:r>
        <w:rPr>
          <w:sz w:val="24"/>
        </w:rPr>
        <w:t>2022年第一次临时股东大会决议公告</w:t>
      </w:r>
      <w:r>
        <w:rPr>
          <w:rFonts w:hint="eastAsia"/>
          <w:sz w:val="24"/>
        </w:rPr>
        <w:t>》（公告编号：20</w:t>
      </w:r>
      <w:r>
        <w:rPr>
          <w:sz w:val="24"/>
        </w:rPr>
        <w:t>22</w:t>
      </w:r>
      <w:r>
        <w:rPr>
          <w:rFonts w:hint="eastAsia"/>
          <w:sz w:val="24"/>
        </w:rPr>
        <w:t>-0</w:t>
      </w:r>
      <w:r>
        <w:rPr>
          <w:sz w:val="24"/>
        </w:rPr>
        <w:t>23</w:t>
      </w:r>
      <w:r>
        <w:rPr>
          <w:rFonts w:hint="eastAsia"/>
          <w:sz w:val="24"/>
        </w:rPr>
        <w:t>）。</w:t>
      </w:r>
      <w:bookmarkStart w:id="1" w:name="_Hlk40278947"/>
      <w:bookmarkEnd w:id="0"/>
    </w:p>
    <w:p w14:paraId="6106A9F8" w14:textId="7B47751D" w:rsidR="00764ACD" w:rsidRDefault="00B61F09">
      <w:pPr>
        <w:snapToGrid w:val="0"/>
        <w:spacing w:line="480" w:lineRule="exact"/>
        <w:ind w:firstLineChars="200" w:firstLine="480"/>
        <w:rPr>
          <w:sz w:val="24"/>
        </w:rPr>
      </w:pPr>
      <w:bookmarkStart w:id="2" w:name="_Hlk40183809"/>
      <w:bookmarkEnd w:id="1"/>
      <w:r>
        <w:rPr>
          <w:rFonts w:hint="eastAsia"/>
          <w:sz w:val="24"/>
        </w:rPr>
        <w:t>近日</w:t>
      </w:r>
      <w:bookmarkStart w:id="3" w:name="_GoBack"/>
      <w:bookmarkEnd w:id="3"/>
      <w:r w:rsidR="009D025A">
        <w:rPr>
          <w:rFonts w:hint="eastAsia"/>
          <w:sz w:val="24"/>
        </w:rPr>
        <w:t>，</w:t>
      </w:r>
      <w:r w:rsidR="0095192E" w:rsidRPr="004638C3">
        <w:rPr>
          <w:rFonts w:hint="eastAsia"/>
          <w:sz w:val="24"/>
        </w:rPr>
        <w:t>公</w:t>
      </w:r>
      <w:r w:rsidR="0095192E">
        <w:rPr>
          <w:rFonts w:hint="eastAsia"/>
          <w:sz w:val="24"/>
        </w:rPr>
        <w:t>司</w:t>
      </w:r>
      <w:r w:rsidR="00820F66">
        <w:rPr>
          <w:rFonts w:hint="eastAsia"/>
          <w:sz w:val="24"/>
        </w:rPr>
        <w:t>及其控股子公司三河市湘德房地产开发有限公司</w:t>
      </w:r>
      <w:r w:rsidR="00820F66" w:rsidRPr="00BF12CF">
        <w:rPr>
          <w:rFonts w:hint="eastAsia"/>
          <w:sz w:val="24"/>
        </w:rPr>
        <w:t>（以下简称“三河湘德”）</w:t>
      </w:r>
      <w:r w:rsidR="0095192E">
        <w:rPr>
          <w:rFonts w:hint="eastAsia"/>
          <w:sz w:val="24"/>
        </w:rPr>
        <w:t>与</w:t>
      </w:r>
      <w:r w:rsidR="00235EF9" w:rsidRPr="00235EF9">
        <w:rPr>
          <w:sz w:val="24"/>
        </w:rPr>
        <w:t>沧州银行股份有限公司燕郊支</w:t>
      </w:r>
      <w:r w:rsidR="00235EF9" w:rsidRPr="00316A31">
        <w:rPr>
          <w:sz w:val="24"/>
        </w:rPr>
        <w:t>行</w:t>
      </w:r>
      <w:r w:rsidR="00046D5C" w:rsidRPr="00316A31">
        <w:rPr>
          <w:sz w:val="24"/>
        </w:rPr>
        <w:t>在河北省</w:t>
      </w:r>
      <w:r w:rsidR="00820F66">
        <w:rPr>
          <w:rFonts w:hint="eastAsia"/>
          <w:sz w:val="24"/>
        </w:rPr>
        <w:t>三河</w:t>
      </w:r>
      <w:r w:rsidR="00046D5C" w:rsidRPr="00316A31">
        <w:rPr>
          <w:sz w:val="24"/>
        </w:rPr>
        <w:t>市</w:t>
      </w:r>
      <w:r w:rsidR="0095192E">
        <w:rPr>
          <w:rFonts w:hint="eastAsia"/>
          <w:sz w:val="24"/>
        </w:rPr>
        <w:t>签署</w:t>
      </w:r>
      <w:r w:rsidR="004638C3">
        <w:rPr>
          <w:rFonts w:hint="eastAsia"/>
          <w:sz w:val="24"/>
        </w:rPr>
        <w:t>了</w:t>
      </w:r>
      <w:r w:rsidR="0095192E">
        <w:rPr>
          <w:rFonts w:hint="eastAsia"/>
          <w:sz w:val="24"/>
        </w:rPr>
        <w:t>《</w:t>
      </w:r>
      <w:r w:rsidR="00820F66">
        <w:rPr>
          <w:rFonts w:hint="eastAsia"/>
          <w:sz w:val="24"/>
        </w:rPr>
        <w:t>借款展期协议</w:t>
      </w:r>
      <w:r w:rsidR="0095192E">
        <w:rPr>
          <w:rFonts w:hint="eastAsia"/>
          <w:sz w:val="24"/>
        </w:rPr>
        <w:t>》，公司为</w:t>
      </w:r>
      <w:r w:rsidR="00820F66">
        <w:rPr>
          <w:rFonts w:hint="eastAsia"/>
          <w:sz w:val="24"/>
        </w:rPr>
        <w:t>三河湘德</w:t>
      </w:r>
      <w:r w:rsidR="0095192E">
        <w:rPr>
          <w:rFonts w:hint="eastAsia"/>
          <w:sz w:val="24"/>
        </w:rPr>
        <w:t>向</w:t>
      </w:r>
      <w:r w:rsidR="00235EF9" w:rsidRPr="00235EF9">
        <w:rPr>
          <w:sz w:val="24"/>
        </w:rPr>
        <w:t>沧州银行股份有限公司燕郊支行</w:t>
      </w:r>
      <w:r w:rsidR="0095192E">
        <w:rPr>
          <w:rFonts w:hint="eastAsia"/>
          <w:sz w:val="24"/>
        </w:rPr>
        <w:t>申请的开发贷款</w:t>
      </w:r>
      <w:r w:rsidR="00820F66">
        <w:rPr>
          <w:rFonts w:hint="eastAsia"/>
          <w:sz w:val="24"/>
        </w:rPr>
        <w:t>展期</w:t>
      </w:r>
      <w:r w:rsidR="003942D5">
        <w:rPr>
          <w:rFonts w:hint="eastAsia"/>
          <w:sz w:val="24"/>
        </w:rPr>
        <w:t>金额</w:t>
      </w:r>
      <w:r w:rsidR="003942D5">
        <w:rPr>
          <w:sz w:val="24"/>
        </w:rPr>
        <w:t>1.7</w:t>
      </w:r>
      <w:r w:rsidR="003942D5">
        <w:rPr>
          <w:rFonts w:hint="eastAsia"/>
          <w:sz w:val="24"/>
        </w:rPr>
        <w:t>亿元</w:t>
      </w:r>
      <w:r w:rsidR="0095192E">
        <w:rPr>
          <w:sz w:val="24"/>
        </w:rPr>
        <w:t>提供连带责任保证</w:t>
      </w:r>
      <w:r w:rsidR="0095192E">
        <w:rPr>
          <w:rFonts w:hint="eastAsia"/>
          <w:sz w:val="24"/>
        </w:rPr>
        <w:t>。</w:t>
      </w:r>
      <w:r w:rsidR="00820F66">
        <w:rPr>
          <w:rFonts w:hint="eastAsia"/>
          <w:sz w:val="24"/>
        </w:rPr>
        <w:t>有关展期前的担保情况详见公司于</w:t>
      </w:r>
      <w:r w:rsidR="00820F66" w:rsidRPr="00820F66">
        <w:rPr>
          <w:sz w:val="24"/>
        </w:rPr>
        <w:t>2021年1月7日</w:t>
      </w:r>
      <w:r w:rsidR="00820F66" w:rsidRPr="00EA4F90">
        <w:rPr>
          <w:color w:val="000000"/>
          <w:sz w:val="24"/>
        </w:rPr>
        <w:t>在巨潮资讯网（www.cninfo.com.cn</w:t>
      </w:r>
      <w:r w:rsidR="00820F66">
        <w:rPr>
          <w:color w:val="000000"/>
          <w:sz w:val="24"/>
        </w:rPr>
        <w:t>）上披露的</w:t>
      </w:r>
      <w:r w:rsidR="00820F66" w:rsidRPr="00EA4F90">
        <w:rPr>
          <w:rFonts w:hint="eastAsia"/>
          <w:color w:val="000000"/>
          <w:sz w:val="24"/>
        </w:rPr>
        <w:t>《</w:t>
      </w:r>
      <w:r w:rsidR="00820F66" w:rsidRPr="00820F66">
        <w:rPr>
          <w:rFonts w:hint="eastAsia"/>
          <w:color w:val="000000"/>
          <w:sz w:val="24"/>
        </w:rPr>
        <w:t>关于为子公司提供担保的公告</w:t>
      </w:r>
      <w:r w:rsidR="00820F66">
        <w:rPr>
          <w:rFonts w:hint="eastAsia"/>
          <w:color w:val="000000"/>
          <w:sz w:val="24"/>
        </w:rPr>
        <w:t>》（公告编号：202</w:t>
      </w:r>
      <w:r w:rsidR="00820F66">
        <w:rPr>
          <w:color w:val="000000"/>
          <w:sz w:val="24"/>
        </w:rPr>
        <w:t>1</w:t>
      </w:r>
      <w:r w:rsidR="00820F66">
        <w:rPr>
          <w:rFonts w:hint="eastAsia"/>
          <w:color w:val="000000"/>
          <w:sz w:val="24"/>
        </w:rPr>
        <w:t>-0</w:t>
      </w:r>
      <w:r w:rsidR="00820F66">
        <w:rPr>
          <w:color w:val="000000"/>
          <w:sz w:val="24"/>
        </w:rPr>
        <w:t>01</w:t>
      </w:r>
      <w:r w:rsidR="00820F66">
        <w:rPr>
          <w:rFonts w:hint="eastAsia"/>
          <w:color w:val="000000"/>
          <w:sz w:val="24"/>
        </w:rPr>
        <w:t>）</w:t>
      </w:r>
      <w:r w:rsidR="00B53834">
        <w:rPr>
          <w:rFonts w:hint="eastAsia"/>
          <w:color w:val="000000"/>
          <w:sz w:val="24"/>
        </w:rPr>
        <w:t>。</w:t>
      </w:r>
    </w:p>
    <w:bookmarkEnd w:id="2"/>
    <w:p w14:paraId="57B378AB" w14:textId="3EFDA5FA" w:rsidR="00764ACD" w:rsidRDefault="004638C3">
      <w:pPr>
        <w:snapToGrid w:val="0"/>
        <w:spacing w:line="480" w:lineRule="exact"/>
        <w:ind w:firstLineChars="200" w:firstLine="480"/>
        <w:rPr>
          <w:color w:val="000000" w:themeColor="text1"/>
          <w:sz w:val="24"/>
        </w:rPr>
      </w:pPr>
      <w:r w:rsidRPr="004638C3">
        <w:rPr>
          <w:rFonts w:hint="eastAsia"/>
          <w:color w:val="000000" w:themeColor="text1"/>
          <w:sz w:val="24"/>
        </w:rPr>
        <w:t>截至本公告日，</w:t>
      </w:r>
      <w:r w:rsidR="0095192E" w:rsidRPr="004638C3">
        <w:rPr>
          <w:rFonts w:hint="eastAsia"/>
          <w:sz w:val="24"/>
        </w:rPr>
        <w:t>本次担保后，公</w:t>
      </w:r>
      <w:r w:rsidR="0095192E" w:rsidRPr="004638C3">
        <w:rPr>
          <w:rFonts w:hint="eastAsia"/>
          <w:color w:val="000000" w:themeColor="text1"/>
          <w:sz w:val="24"/>
        </w:rPr>
        <w:t>司对</w:t>
      </w:r>
      <w:r w:rsidR="0095192E" w:rsidRPr="004638C3">
        <w:rPr>
          <w:color w:val="000000" w:themeColor="text1"/>
          <w:sz w:val="24"/>
        </w:rPr>
        <w:t>三河湘德</w:t>
      </w:r>
      <w:r w:rsidRPr="004638C3">
        <w:rPr>
          <w:rFonts w:hint="eastAsia"/>
          <w:color w:val="000000" w:themeColor="text1"/>
          <w:sz w:val="24"/>
        </w:rPr>
        <w:t>提供的担保余额为</w:t>
      </w:r>
      <w:r w:rsidR="0056500C" w:rsidRPr="0056500C">
        <w:rPr>
          <w:rFonts w:hint="eastAsia"/>
          <w:color w:val="000000" w:themeColor="text1"/>
          <w:sz w:val="24"/>
        </w:rPr>
        <w:t>6.1</w:t>
      </w:r>
      <w:r w:rsidR="0095192E" w:rsidRPr="004638C3">
        <w:rPr>
          <w:rFonts w:hint="eastAsia"/>
          <w:color w:val="000000" w:themeColor="text1"/>
          <w:sz w:val="24"/>
        </w:rPr>
        <w:t>亿元</w:t>
      </w:r>
      <w:r w:rsidR="00FE13DA" w:rsidRPr="004638C3">
        <w:rPr>
          <w:rFonts w:hint="eastAsia"/>
          <w:color w:val="000000" w:themeColor="text1"/>
          <w:sz w:val="24"/>
        </w:rPr>
        <w:t>，</w:t>
      </w:r>
      <w:r w:rsidRPr="004638C3">
        <w:rPr>
          <w:color w:val="000000" w:themeColor="text1"/>
          <w:sz w:val="24"/>
        </w:rPr>
        <w:t>三河湘德</w:t>
      </w:r>
      <w:r w:rsidRPr="004638C3">
        <w:rPr>
          <w:rFonts w:hint="eastAsia"/>
          <w:color w:val="000000" w:themeColor="text1"/>
          <w:sz w:val="24"/>
        </w:rPr>
        <w:t>资产负债率超过70%，</w:t>
      </w:r>
      <w:r w:rsidR="0095192E" w:rsidRPr="004638C3">
        <w:rPr>
          <w:rFonts w:hint="eastAsia"/>
          <w:color w:val="000000" w:themeColor="text1"/>
          <w:sz w:val="24"/>
        </w:rPr>
        <w:t>公司为资产负债率超过70%的子公司的担保余额</w:t>
      </w:r>
      <w:r w:rsidR="0095192E" w:rsidRPr="0056500C">
        <w:rPr>
          <w:rFonts w:hint="eastAsia"/>
          <w:color w:val="000000" w:themeColor="text1"/>
          <w:sz w:val="24"/>
        </w:rPr>
        <w:t>为</w:t>
      </w:r>
      <w:r w:rsidR="0056500C" w:rsidRPr="0056500C">
        <w:rPr>
          <w:rFonts w:hint="eastAsia"/>
          <w:color w:val="000000" w:themeColor="text1"/>
          <w:sz w:val="24"/>
        </w:rPr>
        <w:t>7</w:t>
      </w:r>
      <w:r w:rsidR="0056500C" w:rsidRPr="0056500C">
        <w:rPr>
          <w:color w:val="000000" w:themeColor="text1"/>
          <w:sz w:val="24"/>
        </w:rPr>
        <w:t>.</w:t>
      </w:r>
      <w:r w:rsidR="0056500C">
        <w:rPr>
          <w:color w:val="000000" w:themeColor="text1"/>
          <w:sz w:val="24"/>
        </w:rPr>
        <w:t>31</w:t>
      </w:r>
      <w:r w:rsidR="0095192E" w:rsidRPr="004638C3">
        <w:rPr>
          <w:color w:val="000000" w:themeColor="text1"/>
          <w:sz w:val="24"/>
        </w:rPr>
        <w:t>亿元</w:t>
      </w:r>
      <w:r w:rsidR="0095192E" w:rsidRPr="004638C3">
        <w:rPr>
          <w:rFonts w:hint="eastAsia"/>
          <w:color w:val="000000" w:themeColor="text1"/>
          <w:sz w:val="24"/>
        </w:rPr>
        <w:t>。本次</w:t>
      </w:r>
      <w:r w:rsidR="0095192E">
        <w:rPr>
          <w:rFonts w:hint="eastAsia"/>
          <w:color w:val="000000" w:themeColor="text1"/>
          <w:sz w:val="24"/>
        </w:rPr>
        <w:t>担保属于经公司股东大会审议通过的</w:t>
      </w:r>
      <w:r w:rsidR="0095192E">
        <w:rPr>
          <w:color w:val="000000" w:themeColor="text1"/>
          <w:sz w:val="24"/>
        </w:rPr>
        <w:t>2022年度预计新增对外担保事项</w:t>
      </w:r>
      <w:r w:rsidR="0095192E">
        <w:rPr>
          <w:rFonts w:hint="eastAsia"/>
          <w:color w:val="000000" w:themeColor="text1"/>
          <w:sz w:val="24"/>
        </w:rPr>
        <w:t>范围内的担保事项，</w:t>
      </w:r>
      <w:r w:rsidR="0095192E">
        <w:rPr>
          <w:rFonts w:hint="eastAsia"/>
          <w:sz w:val="24"/>
        </w:rPr>
        <w:t>因此，无需再提交公司董事会和股东大会审议</w:t>
      </w:r>
      <w:r w:rsidR="0095192E">
        <w:rPr>
          <w:rFonts w:hint="eastAsia"/>
          <w:color w:val="000000" w:themeColor="text1"/>
          <w:sz w:val="24"/>
        </w:rPr>
        <w:t>。</w:t>
      </w:r>
    </w:p>
    <w:p w14:paraId="1B290F57" w14:textId="77777777" w:rsidR="00764ACD" w:rsidRDefault="0095192E">
      <w:pPr>
        <w:spacing w:line="480" w:lineRule="exact"/>
        <w:ind w:firstLineChars="200" w:firstLine="482"/>
        <w:rPr>
          <w:b/>
          <w:sz w:val="24"/>
        </w:rPr>
      </w:pPr>
      <w:r>
        <w:rPr>
          <w:rFonts w:hint="eastAsia"/>
          <w:b/>
          <w:sz w:val="24"/>
        </w:rPr>
        <w:lastRenderedPageBreak/>
        <w:t>二、被担保人基本情况</w:t>
      </w:r>
    </w:p>
    <w:p w14:paraId="113E4092" w14:textId="77777777" w:rsidR="00764ACD" w:rsidRDefault="0095192E">
      <w:pPr>
        <w:spacing w:afterLines="50" w:after="156" w:line="480" w:lineRule="exact"/>
        <w:ind w:firstLineChars="200" w:firstLine="482"/>
        <w:rPr>
          <w:b/>
          <w:sz w:val="24"/>
        </w:rPr>
      </w:pPr>
      <w:r>
        <w:rPr>
          <w:rFonts w:hint="eastAsia"/>
          <w:b/>
          <w:sz w:val="24"/>
        </w:rPr>
        <w:t>1、基本情况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5945"/>
      </w:tblGrid>
      <w:tr w:rsidR="00764ACD" w14:paraId="34D8809F" w14:textId="77777777" w:rsidTr="00B04EDB">
        <w:trPr>
          <w:trHeight w:val="397"/>
          <w:jc w:val="center"/>
        </w:trPr>
        <w:tc>
          <w:tcPr>
            <w:tcW w:w="1512" w:type="pct"/>
            <w:shd w:val="clear" w:color="auto" w:fill="auto"/>
            <w:vAlign w:val="center"/>
          </w:tcPr>
          <w:p w14:paraId="1C3FCADA" w14:textId="77777777" w:rsidR="00764ACD" w:rsidRDefault="0095192E">
            <w:pPr>
              <w:tabs>
                <w:tab w:val="left" w:pos="3240"/>
              </w:tabs>
              <w:rPr>
                <w:sz w:val="21"/>
                <w:szCs w:val="21"/>
              </w:rPr>
            </w:pPr>
            <w:r>
              <w:rPr>
                <w:rFonts w:hint="eastAsia"/>
                <w:sz w:val="21"/>
                <w:szCs w:val="21"/>
              </w:rPr>
              <w:t>公司名称</w:t>
            </w:r>
          </w:p>
        </w:tc>
        <w:tc>
          <w:tcPr>
            <w:tcW w:w="3488" w:type="pct"/>
            <w:vAlign w:val="center"/>
          </w:tcPr>
          <w:p w14:paraId="5655CE4F" w14:textId="77777777" w:rsidR="00764ACD" w:rsidRDefault="0095192E">
            <w:pPr>
              <w:tabs>
                <w:tab w:val="left" w:pos="3240"/>
              </w:tabs>
              <w:rPr>
                <w:sz w:val="21"/>
                <w:szCs w:val="21"/>
              </w:rPr>
            </w:pPr>
            <w:r>
              <w:rPr>
                <w:rFonts w:hint="eastAsia"/>
                <w:sz w:val="21"/>
                <w:szCs w:val="21"/>
              </w:rPr>
              <w:t>三河市湘德房地产开发有限公司</w:t>
            </w:r>
          </w:p>
        </w:tc>
      </w:tr>
      <w:tr w:rsidR="00764ACD" w14:paraId="5EB4EC6D" w14:textId="77777777" w:rsidTr="00B04EDB">
        <w:trPr>
          <w:trHeight w:val="397"/>
          <w:jc w:val="center"/>
        </w:trPr>
        <w:tc>
          <w:tcPr>
            <w:tcW w:w="1512" w:type="pct"/>
            <w:shd w:val="clear" w:color="auto" w:fill="auto"/>
            <w:vAlign w:val="center"/>
          </w:tcPr>
          <w:p w14:paraId="70CB1805" w14:textId="77777777" w:rsidR="00764ACD" w:rsidRDefault="0095192E">
            <w:pPr>
              <w:tabs>
                <w:tab w:val="left" w:pos="3240"/>
              </w:tabs>
              <w:rPr>
                <w:sz w:val="21"/>
                <w:szCs w:val="21"/>
              </w:rPr>
            </w:pPr>
            <w:r>
              <w:rPr>
                <w:rFonts w:hint="eastAsia"/>
                <w:sz w:val="21"/>
                <w:szCs w:val="21"/>
              </w:rPr>
              <w:t>成立日期</w:t>
            </w:r>
          </w:p>
        </w:tc>
        <w:tc>
          <w:tcPr>
            <w:tcW w:w="3488" w:type="pct"/>
            <w:vAlign w:val="center"/>
          </w:tcPr>
          <w:p w14:paraId="3A6563DD" w14:textId="77777777" w:rsidR="00764ACD" w:rsidRDefault="0095192E">
            <w:pPr>
              <w:tabs>
                <w:tab w:val="left" w:pos="3240"/>
              </w:tabs>
              <w:rPr>
                <w:sz w:val="21"/>
                <w:szCs w:val="21"/>
              </w:rPr>
            </w:pPr>
            <w:r>
              <w:rPr>
                <w:sz w:val="21"/>
                <w:szCs w:val="21"/>
              </w:rPr>
              <w:t>2011年10月18日</w:t>
            </w:r>
          </w:p>
        </w:tc>
      </w:tr>
      <w:tr w:rsidR="00764ACD" w14:paraId="2B2B9FED" w14:textId="77777777" w:rsidTr="00B96AC6">
        <w:trPr>
          <w:trHeight w:val="340"/>
          <w:jc w:val="center"/>
        </w:trPr>
        <w:tc>
          <w:tcPr>
            <w:tcW w:w="1512" w:type="pct"/>
            <w:shd w:val="clear" w:color="auto" w:fill="auto"/>
            <w:vAlign w:val="center"/>
          </w:tcPr>
          <w:p w14:paraId="5DDEF4F3" w14:textId="77777777" w:rsidR="00764ACD" w:rsidRDefault="0095192E">
            <w:pPr>
              <w:tabs>
                <w:tab w:val="left" w:pos="3240"/>
              </w:tabs>
              <w:rPr>
                <w:sz w:val="21"/>
                <w:szCs w:val="21"/>
              </w:rPr>
            </w:pPr>
            <w:r>
              <w:rPr>
                <w:rFonts w:hint="eastAsia"/>
                <w:sz w:val="21"/>
                <w:szCs w:val="21"/>
              </w:rPr>
              <w:t>注册地址</w:t>
            </w:r>
          </w:p>
        </w:tc>
        <w:tc>
          <w:tcPr>
            <w:tcW w:w="3488" w:type="pct"/>
            <w:vAlign w:val="center"/>
          </w:tcPr>
          <w:p w14:paraId="4D6808EF" w14:textId="77777777" w:rsidR="00764ACD" w:rsidRDefault="0095192E">
            <w:pPr>
              <w:tabs>
                <w:tab w:val="left" w:pos="3240"/>
              </w:tabs>
              <w:rPr>
                <w:sz w:val="21"/>
                <w:szCs w:val="21"/>
              </w:rPr>
            </w:pPr>
            <w:r>
              <w:rPr>
                <w:rFonts w:hint="eastAsia"/>
                <w:sz w:val="21"/>
                <w:szCs w:val="21"/>
              </w:rPr>
              <w:t>河北省廊坊市三河市燕郊高新区高横一路南侧、燕高北路西侧湘德商业办公项目（一期）</w:t>
            </w:r>
            <w:r>
              <w:rPr>
                <w:sz w:val="21"/>
                <w:szCs w:val="21"/>
              </w:rPr>
              <w:t>5#商业中心</w:t>
            </w:r>
          </w:p>
        </w:tc>
      </w:tr>
      <w:tr w:rsidR="00764ACD" w14:paraId="5A7D5CCF" w14:textId="77777777" w:rsidTr="00B04EDB">
        <w:trPr>
          <w:trHeight w:val="397"/>
          <w:jc w:val="center"/>
        </w:trPr>
        <w:tc>
          <w:tcPr>
            <w:tcW w:w="1512" w:type="pct"/>
            <w:shd w:val="clear" w:color="auto" w:fill="auto"/>
            <w:vAlign w:val="center"/>
          </w:tcPr>
          <w:p w14:paraId="43A31E8A" w14:textId="77777777" w:rsidR="00764ACD" w:rsidRDefault="0095192E">
            <w:pPr>
              <w:tabs>
                <w:tab w:val="left" w:pos="3240"/>
              </w:tabs>
              <w:rPr>
                <w:sz w:val="21"/>
                <w:szCs w:val="21"/>
              </w:rPr>
            </w:pPr>
            <w:r>
              <w:rPr>
                <w:rFonts w:hint="eastAsia"/>
                <w:sz w:val="21"/>
                <w:szCs w:val="21"/>
              </w:rPr>
              <w:t>法定代表人</w:t>
            </w:r>
          </w:p>
        </w:tc>
        <w:tc>
          <w:tcPr>
            <w:tcW w:w="3488" w:type="pct"/>
            <w:vAlign w:val="center"/>
          </w:tcPr>
          <w:p w14:paraId="63D76CFF" w14:textId="77777777" w:rsidR="00764ACD" w:rsidRDefault="0095192E">
            <w:pPr>
              <w:tabs>
                <w:tab w:val="left" w:pos="3240"/>
              </w:tabs>
              <w:rPr>
                <w:sz w:val="21"/>
                <w:szCs w:val="21"/>
              </w:rPr>
            </w:pPr>
            <w:r>
              <w:rPr>
                <w:rFonts w:hint="eastAsia"/>
                <w:sz w:val="21"/>
                <w:szCs w:val="21"/>
              </w:rPr>
              <w:t>黄建</w:t>
            </w:r>
          </w:p>
        </w:tc>
      </w:tr>
      <w:tr w:rsidR="00764ACD" w14:paraId="0DE95630" w14:textId="77777777" w:rsidTr="00B04EDB">
        <w:trPr>
          <w:trHeight w:val="397"/>
          <w:jc w:val="center"/>
        </w:trPr>
        <w:tc>
          <w:tcPr>
            <w:tcW w:w="1512" w:type="pct"/>
            <w:shd w:val="clear" w:color="auto" w:fill="auto"/>
            <w:vAlign w:val="center"/>
          </w:tcPr>
          <w:p w14:paraId="165E59CD" w14:textId="77777777" w:rsidR="00764ACD" w:rsidRDefault="0095192E">
            <w:pPr>
              <w:tabs>
                <w:tab w:val="left" w:pos="3240"/>
              </w:tabs>
              <w:rPr>
                <w:sz w:val="21"/>
                <w:szCs w:val="21"/>
              </w:rPr>
            </w:pPr>
            <w:r>
              <w:rPr>
                <w:rFonts w:hint="eastAsia"/>
                <w:sz w:val="21"/>
                <w:szCs w:val="21"/>
              </w:rPr>
              <w:t>注册资本</w:t>
            </w:r>
          </w:p>
        </w:tc>
        <w:tc>
          <w:tcPr>
            <w:tcW w:w="3488" w:type="pct"/>
            <w:vAlign w:val="center"/>
          </w:tcPr>
          <w:p w14:paraId="3CA7D6D4" w14:textId="77777777" w:rsidR="00764ACD" w:rsidRDefault="0095192E">
            <w:pPr>
              <w:tabs>
                <w:tab w:val="left" w:pos="3240"/>
              </w:tabs>
              <w:rPr>
                <w:sz w:val="21"/>
                <w:szCs w:val="21"/>
              </w:rPr>
            </w:pPr>
            <w:r>
              <w:rPr>
                <w:sz w:val="21"/>
                <w:szCs w:val="21"/>
              </w:rPr>
              <w:t>人民币83,500.00万元</w:t>
            </w:r>
          </w:p>
        </w:tc>
      </w:tr>
      <w:tr w:rsidR="00764ACD" w14:paraId="134041D6" w14:textId="77777777" w:rsidTr="00B04EDB">
        <w:trPr>
          <w:trHeight w:val="397"/>
          <w:jc w:val="center"/>
        </w:trPr>
        <w:tc>
          <w:tcPr>
            <w:tcW w:w="1512" w:type="pct"/>
            <w:shd w:val="clear" w:color="auto" w:fill="auto"/>
            <w:vAlign w:val="center"/>
          </w:tcPr>
          <w:p w14:paraId="4B9C3ABD" w14:textId="77777777" w:rsidR="00764ACD" w:rsidRDefault="0095192E">
            <w:pPr>
              <w:tabs>
                <w:tab w:val="left" w:pos="3240"/>
              </w:tabs>
              <w:rPr>
                <w:sz w:val="21"/>
                <w:szCs w:val="21"/>
              </w:rPr>
            </w:pPr>
            <w:r>
              <w:rPr>
                <w:rFonts w:hint="eastAsia"/>
                <w:sz w:val="21"/>
                <w:szCs w:val="21"/>
              </w:rPr>
              <w:t>企业类型</w:t>
            </w:r>
          </w:p>
        </w:tc>
        <w:tc>
          <w:tcPr>
            <w:tcW w:w="3488" w:type="pct"/>
            <w:vAlign w:val="center"/>
          </w:tcPr>
          <w:p w14:paraId="4386538E" w14:textId="77777777" w:rsidR="00764ACD" w:rsidRDefault="0095192E">
            <w:pPr>
              <w:tabs>
                <w:tab w:val="left" w:pos="3240"/>
              </w:tabs>
              <w:rPr>
                <w:sz w:val="21"/>
                <w:szCs w:val="21"/>
              </w:rPr>
            </w:pPr>
            <w:r>
              <w:rPr>
                <w:rFonts w:hint="eastAsia"/>
                <w:sz w:val="21"/>
                <w:szCs w:val="21"/>
              </w:rPr>
              <w:t>有限责任公司</w:t>
            </w:r>
            <w:r>
              <w:rPr>
                <w:sz w:val="21"/>
                <w:szCs w:val="21"/>
              </w:rPr>
              <w:t>(</w:t>
            </w:r>
            <w:r>
              <w:rPr>
                <w:rFonts w:hint="eastAsia"/>
                <w:sz w:val="21"/>
                <w:szCs w:val="21"/>
              </w:rPr>
              <w:t>自然人投资或控股的法人独资</w:t>
            </w:r>
            <w:r>
              <w:rPr>
                <w:sz w:val="21"/>
                <w:szCs w:val="21"/>
              </w:rPr>
              <w:t>)</w:t>
            </w:r>
          </w:p>
        </w:tc>
      </w:tr>
      <w:tr w:rsidR="00764ACD" w14:paraId="1A9F3BE3" w14:textId="77777777">
        <w:trPr>
          <w:trHeight w:val="113"/>
          <w:jc w:val="center"/>
        </w:trPr>
        <w:tc>
          <w:tcPr>
            <w:tcW w:w="1512" w:type="pct"/>
            <w:shd w:val="clear" w:color="auto" w:fill="auto"/>
            <w:vAlign w:val="center"/>
          </w:tcPr>
          <w:p w14:paraId="232A5AA7" w14:textId="77777777" w:rsidR="00764ACD" w:rsidRDefault="0095192E">
            <w:pPr>
              <w:tabs>
                <w:tab w:val="left" w:pos="3240"/>
              </w:tabs>
              <w:rPr>
                <w:sz w:val="21"/>
                <w:szCs w:val="21"/>
              </w:rPr>
            </w:pPr>
            <w:r>
              <w:rPr>
                <w:rFonts w:hint="eastAsia"/>
                <w:sz w:val="21"/>
                <w:szCs w:val="21"/>
              </w:rPr>
              <w:t>经营范围</w:t>
            </w:r>
          </w:p>
        </w:tc>
        <w:tc>
          <w:tcPr>
            <w:tcW w:w="3488" w:type="pct"/>
            <w:vAlign w:val="center"/>
          </w:tcPr>
          <w:p w14:paraId="2AE47D14" w14:textId="77777777" w:rsidR="00764ACD" w:rsidRDefault="0095192E">
            <w:pPr>
              <w:rPr>
                <w:sz w:val="21"/>
                <w:szCs w:val="21"/>
              </w:rPr>
            </w:pPr>
            <w:r>
              <w:rPr>
                <w:rFonts w:hint="eastAsia"/>
                <w:sz w:val="21"/>
                <w:szCs w:val="21"/>
              </w:rPr>
              <w:t>房地产开发、经营，出租和管理自建商品房及配套设施，建筑装潢材料销售；自建项目园林绿化的苗圃管理及苗木种植。（依法须经批准的项目，经相关部门批准后方可开展经营活动）</w:t>
            </w:r>
          </w:p>
        </w:tc>
      </w:tr>
      <w:tr w:rsidR="00764ACD" w14:paraId="75719D4C" w14:textId="77777777" w:rsidTr="00B04EDB">
        <w:trPr>
          <w:trHeight w:val="397"/>
          <w:jc w:val="center"/>
        </w:trPr>
        <w:tc>
          <w:tcPr>
            <w:tcW w:w="1512" w:type="pct"/>
            <w:shd w:val="clear" w:color="auto" w:fill="auto"/>
            <w:vAlign w:val="center"/>
          </w:tcPr>
          <w:p w14:paraId="69C94236" w14:textId="77777777" w:rsidR="00764ACD" w:rsidRDefault="0095192E">
            <w:pPr>
              <w:tabs>
                <w:tab w:val="left" w:pos="3240"/>
              </w:tabs>
              <w:rPr>
                <w:sz w:val="21"/>
                <w:szCs w:val="21"/>
              </w:rPr>
            </w:pPr>
            <w:r>
              <w:rPr>
                <w:rFonts w:hint="eastAsia"/>
                <w:sz w:val="21"/>
                <w:szCs w:val="21"/>
              </w:rPr>
              <w:t>股权结构</w:t>
            </w:r>
          </w:p>
        </w:tc>
        <w:tc>
          <w:tcPr>
            <w:tcW w:w="3488" w:type="pct"/>
            <w:vAlign w:val="center"/>
          </w:tcPr>
          <w:p w14:paraId="68FE0E25" w14:textId="77777777" w:rsidR="00764ACD" w:rsidRDefault="0095192E">
            <w:pPr>
              <w:tabs>
                <w:tab w:val="left" w:pos="3240"/>
              </w:tabs>
              <w:rPr>
                <w:sz w:val="21"/>
                <w:szCs w:val="21"/>
              </w:rPr>
            </w:pPr>
            <w:r>
              <w:rPr>
                <w:rFonts w:hint="eastAsia"/>
                <w:sz w:val="21"/>
                <w:szCs w:val="21"/>
              </w:rPr>
              <w:t>公司控股子公司（注1）</w:t>
            </w:r>
          </w:p>
        </w:tc>
      </w:tr>
      <w:tr w:rsidR="00764ACD" w14:paraId="1F632011" w14:textId="77777777" w:rsidTr="00B04EDB">
        <w:trPr>
          <w:trHeight w:val="397"/>
          <w:jc w:val="center"/>
        </w:trPr>
        <w:tc>
          <w:tcPr>
            <w:tcW w:w="1512" w:type="pct"/>
            <w:shd w:val="clear" w:color="auto" w:fill="auto"/>
            <w:vAlign w:val="center"/>
          </w:tcPr>
          <w:p w14:paraId="22AC501E" w14:textId="77777777" w:rsidR="00764ACD" w:rsidRDefault="0095192E">
            <w:pPr>
              <w:tabs>
                <w:tab w:val="left" w:pos="3240"/>
              </w:tabs>
              <w:rPr>
                <w:sz w:val="21"/>
                <w:szCs w:val="21"/>
              </w:rPr>
            </w:pPr>
            <w:r>
              <w:rPr>
                <w:rFonts w:hint="eastAsia"/>
                <w:sz w:val="21"/>
                <w:szCs w:val="21"/>
              </w:rPr>
              <w:t>是否失信被执行人</w:t>
            </w:r>
          </w:p>
        </w:tc>
        <w:tc>
          <w:tcPr>
            <w:tcW w:w="3488" w:type="pct"/>
            <w:vAlign w:val="center"/>
          </w:tcPr>
          <w:p w14:paraId="478A4AC4" w14:textId="77777777" w:rsidR="00764ACD" w:rsidRDefault="0095192E">
            <w:pPr>
              <w:tabs>
                <w:tab w:val="left" w:pos="3240"/>
              </w:tabs>
              <w:rPr>
                <w:sz w:val="21"/>
                <w:szCs w:val="21"/>
              </w:rPr>
            </w:pPr>
            <w:r>
              <w:rPr>
                <w:rFonts w:hint="eastAsia"/>
                <w:sz w:val="21"/>
                <w:szCs w:val="21"/>
              </w:rPr>
              <w:t>否</w:t>
            </w:r>
          </w:p>
        </w:tc>
      </w:tr>
    </w:tbl>
    <w:p w14:paraId="38D1DE01" w14:textId="77777777" w:rsidR="00764ACD" w:rsidRDefault="0095192E">
      <w:pPr>
        <w:spacing w:line="360" w:lineRule="auto"/>
        <w:ind w:firstLineChars="150" w:firstLine="420"/>
        <w:rPr>
          <w:sz w:val="24"/>
        </w:rPr>
      </w:pPr>
      <w:r>
        <w:rPr>
          <w:noProof/>
        </w:rPr>
        <w:drawing>
          <wp:anchor distT="0" distB="0" distL="114300" distR="114300" simplePos="0" relativeHeight="251660288" behindDoc="1" locked="0" layoutInCell="1" allowOverlap="1" wp14:anchorId="57B822B0" wp14:editId="4E178C6F">
            <wp:simplePos x="0" y="0"/>
            <wp:positionH relativeFrom="margin">
              <wp:posOffset>1008380</wp:posOffset>
            </wp:positionH>
            <wp:positionV relativeFrom="paragraph">
              <wp:posOffset>260350</wp:posOffset>
            </wp:positionV>
            <wp:extent cx="3418840" cy="1466850"/>
            <wp:effectExtent l="0" t="0" r="0" b="0"/>
            <wp:wrapNone/>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5320" cy="1482688"/>
                    </a:xfrm>
                    <a:prstGeom prst="rect">
                      <a:avLst/>
                    </a:prstGeom>
                    <a:noFill/>
                    <a:ln>
                      <a:noFill/>
                    </a:ln>
                  </pic:spPr>
                </pic:pic>
              </a:graphicData>
            </a:graphic>
          </wp:anchor>
        </w:drawing>
      </w:r>
      <w:r>
        <w:rPr>
          <w:sz w:val="24"/>
        </w:rPr>
        <w:t>注</w:t>
      </w:r>
      <w:r>
        <w:rPr>
          <w:rFonts w:hint="eastAsia"/>
          <w:sz w:val="24"/>
        </w:rPr>
        <w:t>1：三河湘德的股权结构图</w:t>
      </w:r>
    </w:p>
    <w:p w14:paraId="663E9E2F" w14:textId="77777777" w:rsidR="00764ACD" w:rsidRDefault="00764ACD">
      <w:pPr>
        <w:snapToGrid w:val="0"/>
        <w:spacing w:line="480" w:lineRule="exact"/>
        <w:ind w:firstLineChars="150" w:firstLine="360"/>
        <w:rPr>
          <w:sz w:val="24"/>
        </w:rPr>
      </w:pPr>
    </w:p>
    <w:p w14:paraId="0B475867" w14:textId="77777777" w:rsidR="00764ACD" w:rsidRDefault="00764ACD">
      <w:pPr>
        <w:snapToGrid w:val="0"/>
        <w:spacing w:line="480" w:lineRule="exact"/>
        <w:ind w:firstLineChars="150" w:firstLine="361"/>
        <w:rPr>
          <w:b/>
          <w:sz w:val="24"/>
        </w:rPr>
      </w:pPr>
    </w:p>
    <w:p w14:paraId="4B172D67" w14:textId="77777777" w:rsidR="00764ACD" w:rsidRDefault="00764ACD">
      <w:pPr>
        <w:spacing w:beforeLines="50" w:before="156" w:afterLines="50" w:after="156" w:line="360" w:lineRule="auto"/>
        <w:jc w:val="center"/>
        <w:rPr>
          <w:b/>
          <w:sz w:val="24"/>
        </w:rPr>
      </w:pPr>
    </w:p>
    <w:p w14:paraId="533594EB" w14:textId="77777777" w:rsidR="00764ACD" w:rsidRDefault="00764ACD">
      <w:pPr>
        <w:spacing w:line="480" w:lineRule="exact"/>
        <w:ind w:firstLineChars="232" w:firstLine="559"/>
        <w:rPr>
          <w:b/>
          <w:sz w:val="24"/>
        </w:rPr>
      </w:pPr>
    </w:p>
    <w:p w14:paraId="499EE6AB" w14:textId="77777777" w:rsidR="00764ACD" w:rsidRDefault="0095192E">
      <w:pPr>
        <w:spacing w:line="480" w:lineRule="exact"/>
        <w:ind w:firstLineChars="232" w:firstLine="559"/>
        <w:rPr>
          <w:b/>
          <w:sz w:val="24"/>
        </w:rPr>
      </w:pPr>
      <w:r w:rsidRPr="0056500C">
        <w:rPr>
          <w:rFonts w:hint="eastAsia"/>
          <w:b/>
          <w:sz w:val="24"/>
        </w:rPr>
        <w:t>2、财务指标</w:t>
      </w:r>
    </w:p>
    <w:p w14:paraId="70040C27" w14:textId="77777777" w:rsidR="00764ACD" w:rsidRDefault="0095192E">
      <w:pPr>
        <w:tabs>
          <w:tab w:val="left" w:pos="3240"/>
        </w:tabs>
        <w:ind w:firstLineChars="177" w:firstLine="389"/>
        <w:jc w:val="right"/>
        <w:rPr>
          <w:sz w:val="22"/>
        </w:rPr>
      </w:pPr>
      <w:r>
        <w:rPr>
          <w:rFonts w:hint="eastAsia"/>
          <w:sz w:val="22"/>
        </w:rPr>
        <w:t>单位：万元</w:t>
      </w:r>
    </w:p>
    <w:tbl>
      <w:tblPr>
        <w:tblStyle w:val="a8"/>
        <w:tblW w:w="5000" w:type="pct"/>
        <w:tblLook w:val="04A0" w:firstRow="1" w:lastRow="0" w:firstColumn="1" w:lastColumn="0" w:noHBand="0" w:noVBand="1"/>
      </w:tblPr>
      <w:tblGrid>
        <w:gridCol w:w="1704"/>
        <w:gridCol w:w="3409"/>
        <w:gridCol w:w="3409"/>
      </w:tblGrid>
      <w:tr w:rsidR="00764ACD" w14:paraId="0C4EB8FB" w14:textId="77777777" w:rsidTr="00F47CAB">
        <w:trPr>
          <w:trHeight w:val="397"/>
        </w:trPr>
        <w:tc>
          <w:tcPr>
            <w:tcW w:w="1000" w:type="pct"/>
            <w:shd w:val="clear" w:color="auto" w:fill="F2F2F2" w:themeFill="background1" w:themeFillShade="F2"/>
            <w:vAlign w:val="center"/>
          </w:tcPr>
          <w:p w14:paraId="665332CB" w14:textId="77777777" w:rsidR="00764ACD" w:rsidRDefault="0095192E">
            <w:pPr>
              <w:tabs>
                <w:tab w:val="left" w:pos="3240"/>
              </w:tabs>
              <w:jc w:val="center"/>
              <w:rPr>
                <w:sz w:val="21"/>
                <w:szCs w:val="21"/>
              </w:rPr>
            </w:pPr>
            <w:r>
              <w:rPr>
                <w:rFonts w:hint="eastAsia"/>
                <w:sz w:val="21"/>
                <w:szCs w:val="21"/>
              </w:rPr>
              <w:t>类别</w:t>
            </w:r>
          </w:p>
        </w:tc>
        <w:tc>
          <w:tcPr>
            <w:tcW w:w="2000" w:type="pct"/>
            <w:shd w:val="clear" w:color="auto" w:fill="F2F2F2" w:themeFill="background1" w:themeFillShade="F2"/>
            <w:vAlign w:val="center"/>
          </w:tcPr>
          <w:p w14:paraId="20D0950D" w14:textId="77777777" w:rsidR="00764ACD" w:rsidRDefault="0095192E" w:rsidP="00B96AC6">
            <w:pPr>
              <w:tabs>
                <w:tab w:val="left" w:pos="3240"/>
              </w:tabs>
              <w:snapToGrid w:val="0"/>
              <w:jc w:val="center"/>
              <w:rPr>
                <w:sz w:val="21"/>
                <w:szCs w:val="21"/>
              </w:rPr>
            </w:pPr>
            <w:r>
              <w:rPr>
                <w:sz w:val="21"/>
                <w:szCs w:val="21"/>
              </w:rPr>
              <w:t>2022年9</w:t>
            </w:r>
            <w:r>
              <w:rPr>
                <w:rFonts w:hint="eastAsia"/>
                <w:sz w:val="21"/>
                <w:szCs w:val="21"/>
              </w:rPr>
              <w:t>月</w:t>
            </w:r>
            <w:r>
              <w:rPr>
                <w:sz w:val="21"/>
                <w:szCs w:val="21"/>
              </w:rPr>
              <w:t>30</w:t>
            </w:r>
            <w:r>
              <w:rPr>
                <w:rFonts w:hint="eastAsia"/>
                <w:sz w:val="21"/>
                <w:szCs w:val="21"/>
              </w:rPr>
              <w:t>日（未经审计）</w:t>
            </w:r>
          </w:p>
        </w:tc>
        <w:tc>
          <w:tcPr>
            <w:tcW w:w="2000" w:type="pct"/>
            <w:shd w:val="clear" w:color="auto" w:fill="F2F2F2" w:themeFill="background1" w:themeFillShade="F2"/>
            <w:vAlign w:val="center"/>
          </w:tcPr>
          <w:p w14:paraId="7CF2DE7F" w14:textId="77777777" w:rsidR="00764ACD" w:rsidRDefault="0095192E" w:rsidP="00B96AC6">
            <w:pPr>
              <w:tabs>
                <w:tab w:val="left" w:pos="3240"/>
              </w:tabs>
              <w:snapToGrid w:val="0"/>
              <w:jc w:val="center"/>
              <w:rPr>
                <w:sz w:val="21"/>
                <w:szCs w:val="21"/>
              </w:rPr>
            </w:pPr>
            <w:r>
              <w:rPr>
                <w:sz w:val="21"/>
                <w:szCs w:val="21"/>
              </w:rPr>
              <w:t>2021年12月31日（经审计）</w:t>
            </w:r>
          </w:p>
        </w:tc>
      </w:tr>
      <w:tr w:rsidR="00764ACD" w14:paraId="23996B54" w14:textId="77777777" w:rsidTr="00F47CAB">
        <w:trPr>
          <w:trHeight w:val="397"/>
        </w:trPr>
        <w:tc>
          <w:tcPr>
            <w:tcW w:w="1000" w:type="pct"/>
          </w:tcPr>
          <w:p w14:paraId="431B3EFD" w14:textId="77777777" w:rsidR="00764ACD" w:rsidRDefault="0095192E">
            <w:pPr>
              <w:tabs>
                <w:tab w:val="left" w:pos="3240"/>
              </w:tabs>
              <w:jc w:val="left"/>
              <w:rPr>
                <w:sz w:val="21"/>
                <w:szCs w:val="21"/>
              </w:rPr>
            </w:pPr>
            <w:r>
              <w:rPr>
                <w:rFonts w:hint="eastAsia"/>
                <w:sz w:val="21"/>
                <w:szCs w:val="21"/>
              </w:rPr>
              <w:t>资产总额</w:t>
            </w:r>
          </w:p>
        </w:tc>
        <w:tc>
          <w:tcPr>
            <w:tcW w:w="2000" w:type="pct"/>
            <w:vAlign w:val="center"/>
          </w:tcPr>
          <w:p w14:paraId="074C4688" w14:textId="77777777" w:rsidR="00764ACD" w:rsidRPr="00F31615" w:rsidRDefault="0095192E">
            <w:pPr>
              <w:tabs>
                <w:tab w:val="left" w:pos="3240"/>
              </w:tabs>
              <w:jc w:val="right"/>
              <w:rPr>
                <w:color w:val="000000" w:themeColor="text1"/>
                <w:sz w:val="21"/>
                <w:szCs w:val="21"/>
              </w:rPr>
            </w:pPr>
            <w:r w:rsidRPr="00F31615">
              <w:rPr>
                <w:rFonts w:hint="eastAsia"/>
                <w:color w:val="000000" w:themeColor="text1"/>
                <w:sz w:val="21"/>
                <w:szCs w:val="21"/>
              </w:rPr>
              <w:t>464,860.94</w:t>
            </w:r>
          </w:p>
        </w:tc>
        <w:tc>
          <w:tcPr>
            <w:tcW w:w="2000" w:type="pct"/>
            <w:vAlign w:val="center"/>
          </w:tcPr>
          <w:p w14:paraId="143A81FC" w14:textId="77777777" w:rsidR="00764ACD" w:rsidRDefault="0095192E">
            <w:pPr>
              <w:tabs>
                <w:tab w:val="left" w:pos="3240"/>
              </w:tabs>
              <w:jc w:val="right"/>
              <w:rPr>
                <w:sz w:val="21"/>
                <w:szCs w:val="21"/>
              </w:rPr>
            </w:pPr>
            <w:r>
              <w:rPr>
                <w:rFonts w:hAnsi="Times New Roman" w:cs="宋体"/>
                <w:kern w:val="0"/>
                <w:sz w:val="21"/>
                <w:szCs w:val="21"/>
              </w:rPr>
              <w:t>417</w:t>
            </w:r>
            <w:r>
              <w:rPr>
                <w:rFonts w:hAnsi="Times New Roman" w:cs="宋体" w:hint="eastAsia"/>
                <w:kern w:val="0"/>
                <w:sz w:val="21"/>
                <w:szCs w:val="21"/>
              </w:rPr>
              <w:t>,</w:t>
            </w:r>
            <w:r>
              <w:rPr>
                <w:rFonts w:hAnsi="Times New Roman" w:cs="宋体"/>
                <w:kern w:val="0"/>
                <w:sz w:val="21"/>
                <w:szCs w:val="21"/>
              </w:rPr>
              <w:t>222</w:t>
            </w:r>
            <w:r>
              <w:rPr>
                <w:rFonts w:hAnsi="Times New Roman" w:cs="宋体" w:hint="eastAsia"/>
                <w:kern w:val="0"/>
                <w:sz w:val="21"/>
                <w:szCs w:val="21"/>
              </w:rPr>
              <w:t>.09</w:t>
            </w:r>
          </w:p>
        </w:tc>
      </w:tr>
      <w:tr w:rsidR="00764ACD" w14:paraId="0275F55C" w14:textId="77777777" w:rsidTr="00F47CAB">
        <w:trPr>
          <w:trHeight w:val="397"/>
        </w:trPr>
        <w:tc>
          <w:tcPr>
            <w:tcW w:w="1000" w:type="pct"/>
          </w:tcPr>
          <w:p w14:paraId="4FB733A1" w14:textId="77777777" w:rsidR="00764ACD" w:rsidRDefault="0095192E">
            <w:pPr>
              <w:tabs>
                <w:tab w:val="left" w:pos="3240"/>
              </w:tabs>
              <w:jc w:val="left"/>
              <w:rPr>
                <w:sz w:val="21"/>
                <w:szCs w:val="21"/>
              </w:rPr>
            </w:pPr>
            <w:r>
              <w:rPr>
                <w:rFonts w:hint="eastAsia"/>
                <w:sz w:val="21"/>
                <w:szCs w:val="21"/>
              </w:rPr>
              <w:t>负债总额</w:t>
            </w:r>
          </w:p>
        </w:tc>
        <w:tc>
          <w:tcPr>
            <w:tcW w:w="2000" w:type="pct"/>
            <w:vAlign w:val="center"/>
          </w:tcPr>
          <w:p w14:paraId="42449795" w14:textId="77777777" w:rsidR="00764ACD" w:rsidRPr="00F31615" w:rsidRDefault="0095192E">
            <w:pPr>
              <w:tabs>
                <w:tab w:val="left" w:pos="3240"/>
              </w:tabs>
              <w:jc w:val="right"/>
              <w:rPr>
                <w:color w:val="000000" w:themeColor="text1"/>
                <w:sz w:val="21"/>
                <w:szCs w:val="21"/>
              </w:rPr>
            </w:pPr>
            <w:r w:rsidRPr="00F31615">
              <w:rPr>
                <w:rFonts w:hint="eastAsia"/>
                <w:color w:val="000000" w:themeColor="text1"/>
                <w:sz w:val="21"/>
                <w:szCs w:val="21"/>
              </w:rPr>
              <w:t>402,266.59</w:t>
            </w:r>
          </w:p>
        </w:tc>
        <w:tc>
          <w:tcPr>
            <w:tcW w:w="2000" w:type="pct"/>
            <w:vAlign w:val="center"/>
          </w:tcPr>
          <w:p w14:paraId="5C77FEC7" w14:textId="77777777" w:rsidR="00764ACD" w:rsidRDefault="0095192E">
            <w:pPr>
              <w:tabs>
                <w:tab w:val="left" w:pos="3240"/>
              </w:tabs>
              <w:jc w:val="right"/>
              <w:rPr>
                <w:rFonts w:hAnsi="Times New Roman" w:cs="宋体"/>
                <w:kern w:val="0"/>
                <w:sz w:val="21"/>
                <w:szCs w:val="21"/>
              </w:rPr>
            </w:pPr>
            <w:r>
              <w:rPr>
                <w:rFonts w:hAnsi="Times New Roman" w:cs="宋体"/>
                <w:kern w:val="0"/>
                <w:sz w:val="21"/>
                <w:szCs w:val="21"/>
              </w:rPr>
              <w:t>349</w:t>
            </w:r>
            <w:r>
              <w:rPr>
                <w:rFonts w:hAnsi="Times New Roman" w:cs="宋体" w:hint="eastAsia"/>
                <w:kern w:val="0"/>
                <w:sz w:val="21"/>
                <w:szCs w:val="21"/>
              </w:rPr>
              <w:t>,</w:t>
            </w:r>
            <w:r>
              <w:rPr>
                <w:rFonts w:hAnsi="Times New Roman" w:cs="宋体"/>
                <w:kern w:val="0"/>
                <w:sz w:val="21"/>
                <w:szCs w:val="21"/>
              </w:rPr>
              <w:t>321</w:t>
            </w:r>
            <w:r>
              <w:rPr>
                <w:rFonts w:hAnsi="Times New Roman" w:cs="宋体" w:hint="eastAsia"/>
                <w:kern w:val="0"/>
                <w:sz w:val="21"/>
                <w:szCs w:val="21"/>
              </w:rPr>
              <w:t>.</w:t>
            </w:r>
            <w:r>
              <w:rPr>
                <w:rFonts w:hAnsi="Times New Roman" w:cs="宋体"/>
                <w:kern w:val="0"/>
                <w:sz w:val="21"/>
                <w:szCs w:val="21"/>
              </w:rPr>
              <w:t>7</w:t>
            </w:r>
            <w:r>
              <w:rPr>
                <w:rFonts w:hAnsi="Times New Roman" w:cs="宋体" w:hint="eastAsia"/>
                <w:kern w:val="0"/>
                <w:sz w:val="21"/>
                <w:szCs w:val="21"/>
              </w:rPr>
              <w:t>8</w:t>
            </w:r>
          </w:p>
        </w:tc>
      </w:tr>
      <w:tr w:rsidR="00764ACD" w14:paraId="3CC1219D" w14:textId="77777777" w:rsidTr="00F47CAB">
        <w:trPr>
          <w:trHeight w:val="397"/>
        </w:trPr>
        <w:tc>
          <w:tcPr>
            <w:tcW w:w="1000" w:type="pct"/>
          </w:tcPr>
          <w:p w14:paraId="02526E77" w14:textId="77777777" w:rsidR="00764ACD" w:rsidRDefault="0095192E">
            <w:pPr>
              <w:tabs>
                <w:tab w:val="left" w:pos="3240"/>
              </w:tabs>
              <w:jc w:val="left"/>
              <w:rPr>
                <w:sz w:val="21"/>
                <w:szCs w:val="21"/>
              </w:rPr>
            </w:pPr>
            <w:r>
              <w:rPr>
                <w:rFonts w:hint="eastAsia"/>
                <w:sz w:val="21"/>
                <w:szCs w:val="21"/>
              </w:rPr>
              <w:t>银行贷款总额</w:t>
            </w:r>
          </w:p>
        </w:tc>
        <w:tc>
          <w:tcPr>
            <w:tcW w:w="2000" w:type="pct"/>
            <w:vAlign w:val="center"/>
          </w:tcPr>
          <w:p w14:paraId="2F648CDF" w14:textId="77777777" w:rsidR="00764ACD" w:rsidRPr="00F31615" w:rsidRDefault="0095192E">
            <w:pPr>
              <w:tabs>
                <w:tab w:val="left" w:pos="3240"/>
              </w:tabs>
              <w:jc w:val="right"/>
              <w:rPr>
                <w:color w:val="000000" w:themeColor="text1"/>
                <w:sz w:val="21"/>
                <w:szCs w:val="21"/>
              </w:rPr>
            </w:pPr>
            <w:r w:rsidRPr="00F31615">
              <w:rPr>
                <w:rFonts w:hint="eastAsia"/>
                <w:color w:val="000000" w:themeColor="text1"/>
                <w:sz w:val="21"/>
                <w:szCs w:val="21"/>
              </w:rPr>
              <w:t>56,660.00</w:t>
            </w:r>
          </w:p>
        </w:tc>
        <w:tc>
          <w:tcPr>
            <w:tcW w:w="2000" w:type="pct"/>
            <w:vAlign w:val="center"/>
          </w:tcPr>
          <w:p w14:paraId="3F7D15FB" w14:textId="77777777" w:rsidR="00764ACD" w:rsidRDefault="0095192E">
            <w:pPr>
              <w:tabs>
                <w:tab w:val="left" w:pos="3240"/>
              </w:tabs>
              <w:jc w:val="right"/>
              <w:rPr>
                <w:rFonts w:hAnsi="Times New Roman" w:cs="宋体"/>
                <w:kern w:val="0"/>
                <w:sz w:val="21"/>
                <w:szCs w:val="21"/>
              </w:rPr>
            </w:pPr>
            <w:r>
              <w:rPr>
                <w:rFonts w:hAnsi="Times New Roman" w:cs="宋体" w:hint="eastAsia"/>
                <w:kern w:val="0"/>
                <w:sz w:val="21"/>
                <w:szCs w:val="21"/>
              </w:rPr>
              <w:t>3</w:t>
            </w:r>
            <w:r w:rsidR="005B6276">
              <w:rPr>
                <w:rFonts w:hAnsi="Times New Roman" w:cs="宋体" w:hint="eastAsia"/>
                <w:kern w:val="0"/>
                <w:sz w:val="21"/>
                <w:szCs w:val="21"/>
              </w:rPr>
              <w:t>9</w:t>
            </w:r>
            <w:r>
              <w:rPr>
                <w:rFonts w:hAnsi="Times New Roman" w:cs="宋体" w:hint="eastAsia"/>
                <w:kern w:val="0"/>
                <w:sz w:val="21"/>
                <w:szCs w:val="21"/>
              </w:rPr>
              <w:t>,000.00</w:t>
            </w:r>
          </w:p>
        </w:tc>
      </w:tr>
      <w:tr w:rsidR="00764ACD" w14:paraId="4ECF04D4" w14:textId="77777777" w:rsidTr="00F47CAB">
        <w:trPr>
          <w:trHeight w:val="397"/>
        </w:trPr>
        <w:tc>
          <w:tcPr>
            <w:tcW w:w="1000" w:type="pct"/>
          </w:tcPr>
          <w:p w14:paraId="58335F4C" w14:textId="77777777" w:rsidR="00764ACD" w:rsidRDefault="0095192E">
            <w:pPr>
              <w:tabs>
                <w:tab w:val="left" w:pos="3240"/>
              </w:tabs>
              <w:jc w:val="left"/>
              <w:rPr>
                <w:sz w:val="21"/>
                <w:szCs w:val="21"/>
              </w:rPr>
            </w:pPr>
            <w:r>
              <w:rPr>
                <w:rFonts w:hint="eastAsia"/>
                <w:sz w:val="21"/>
                <w:szCs w:val="21"/>
              </w:rPr>
              <w:t>流动负债总额</w:t>
            </w:r>
          </w:p>
        </w:tc>
        <w:tc>
          <w:tcPr>
            <w:tcW w:w="2000" w:type="pct"/>
            <w:vAlign w:val="center"/>
          </w:tcPr>
          <w:p w14:paraId="45DBC997" w14:textId="77777777" w:rsidR="00764ACD" w:rsidRPr="00F31615" w:rsidRDefault="0095192E">
            <w:pPr>
              <w:tabs>
                <w:tab w:val="left" w:pos="3240"/>
              </w:tabs>
              <w:jc w:val="right"/>
              <w:rPr>
                <w:color w:val="000000" w:themeColor="text1"/>
                <w:sz w:val="21"/>
                <w:szCs w:val="21"/>
              </w:rPr>
            </w:pPr>
            <w:r w:rsidRPr="00F31615">
              <w:rPr>
                <w:rFonts w:hint="eastAsia"/>
                <w:color w:val="000000" w:themeColor="text1"/>
                <w:sz w:val="21"/>
                <w:szCs w:val="21"/>
              </w:rPr>
              <w:t>342,997.74</w:t>
            </w:r>
          </w:p>
        </w:tc>
        <w:tc>
          <w:tcPr>
            <w:tcW w:w="2000" w:type="pct"/>
            <w:vAlign w:val="center"/>
          </w:tcPr>
          <w:p w14:paraId="1BD17DAD" w14:textId="77777777" w:rsidR="00764ACD" w:rsidRDefault="0095192E">
            <w:pPr>
              <w:tabs>
                <w:tab w:val="left" w:pos="3240"/>
              </w:tabs>
              <w:jc w:val="right"/>
              <w:rPr>
                <w:rFonts w:hAnsi="Times New Roman" w:cs="宋体"/>
                <w:kern w:val="0"/>
                <w:sz w:val="21"/>
                <w:szCs w:val="21"/>
              </w:rPr>
            </w:pPr>
            <w:r>
              <w:rPr>
                <w:rFonts w:hAnsi="Times New Roman" w:cs="宋体"/>
                <w:kern w:val="0"/>
                <w:sz w:val="21"/>
                <w:szCs w:val="21"/>
              </w:rPr>
              <w:t>310</w:t>
            </w:r>
            <w:r>
              <w:rPr>
                <w:rFonts w:hAnsi="Times New Roman" w:cs="宋体" w:hint="eastAsia"/>
                <w:kern w:val="0"/>
                <w:sz w:val="21"/>
                <w:szCs w:val="21"/>
              </w:rPr>
              <w:t>,</w:t>
            </w:r>
            <w:r>
              <w:rPr>
                <w:rFonts w:hAnsi="Times New Roman" w:cs="宋体"/>
                <w:kern w:val="0"/>
                <w:sz w:val="21"/>
                <w:szCs w:val="21"/>
              </w:rPr>
              <w:t>649</w:t>
            </w:r>
            <w:r>
              <w:rPr>
                <w:rFonts w:hAnsi="Times New Roman" w:cs="宋体" w:hint="eastAsia"/>
                <w:kern w:val="0"/>
                <w:sz w:val="21"/>
                <w:szCs w:val="21"/>
              </w:rPr>
              <w:t>.</w:t>
            </w:r>
            <w:r>
              <w:rPr>
                <w:rFonts w:hAnsi="Times New Roman" w:cs="宋体"/>
                <w:kern w:val="0"/>
                <w:sz w:val="21"/>
                <w:szCs w:val="21"/>
              </w:rPr>
              <w:t>3</w:t>
            </w:r>
            <w:r>
              <w:rPr>
                <w:rFonts w:hAnsi="Times New Roman" w:cs="宋体" w:hint="eastAsia"/>
                <w:kern w:val="0"/>
                <w:sz w:val="21"/>
                <w:szCs w:val="21"/>
              </w:rPr>
              <w:t>0</w:t>
            </w:r>
          </w:p>
        </w:tc>
      </w:tr>
      <w:tr w:rsidR="00764ACD" w14:paraId="524BB631" w14:textId="77777777" w:rsidTr="00F47CAB">
        <w:trPr>
          <w:trHeight w:val="397"/>
        </w:trPr>
        <w:tc>
          <w:tcPr>
            <w:tcW w:w="1000" w:type="pct"/>
            <w:tcBorders>
              <w:bottom w:val="single" w:sz="4" w:space="0" w:color="auto"/>
            </w:tcBorders>
          </w:tcPr>
          <w:p w14:paraId="76F90E95" w14:textId="77777777" w:rsidR="00764ACD" w:rsidRDefault="0095192E">
            <w:pPr>
              <w:tabs>
                <w:tab w:val="left" w:pos="3240"/>
              </w:tabs>
              <w:jc w:val="left"/>
              <w:rPr>
                <w:sz w:val="21"/>
                <w:szCs w:val="21"/>
              </w:rPr>
            </w:pPr>
            <w:r>
              <w:rPr>
                <w:rFonts w:hint="eastAsia"/>
                <w:sz w:val="21"/>
                <w:szCs w:val="21"/>
              </w:rPr>
              <w:t>净资产</w:t>
            </w:r>
          </w:p>
        </w:tc>
        <w:tc>
          <w:tcPr>
            <w:tcW w:w="2000" w:type="pct"/>
            <w:tcBorders>
              <w:bottom w:val="single" w:sz="4" w:space="0" w:color="auto"/>
            </w:tcBorders>
            <w:vAlign w:val="center"/>
          </w:tcPr>
          <w:p w14:paraId="4BB1549A" w14:textId="77777777" w:rsidR="00764ACD" w:rsidRPr="00F31615" w:rsidRDefault="0095192E">
            <w:pPr>
              <w:tabs>
                <w:tab w:val="left" w:pos="3240"/>
              </w:tabs>
              <w:jc w:val="right"/>
              <w:rPr>
                <w:color w:val="000000" w:themeColor="text1"/>
                <w:sz w:val="21"/>
                <w:szCs w:val="21"/>
              </w:rPr>
            </w:pPr>
            <w:r w:rsidRPr="00F31615">
              <w:rPr>
                <w:rFonts w:hint="eastAsia"/>
                <w:color w:val="000000" w:themeColor="text1"/>
                <w:sz w:val="21"/>
                <w:szCs w:val="21"/>
              </w:rPr>
              <w:t>62,594.3</w:t>
            </w:r>
            <w:r w:rsidR="00F811A2">
              <w:rPr>
                <w:rFonts w:hint="eastAsia"/>
                <w:color w:val="000000" w:themeColor="text1"/>
                <w:sz w:val="21"/>
                <w:szCs w:val="21"/>
              </w:rPr>
              <w:t>5</w:t>
            </w:r>
          </w:p>
        </w:tc>
        <w:tc>
          <w:tcPr>
            <w:tcW w:w="2000" w:type="pct"/>
            <w:tcBorders>
              <w:bottom w:val="single" w:sz="4" w:space="0" w:color="auto"/>
            </w:tcBorders>
            <w:vAlign w:val="center"/>
          </w:tcPr>
          <w:p w14:paraId="6D077621" w14:textId="77777777" w:rsidR="00764ACD" w:rsidRDefault="0095192E">
            <w:pPr>
              <w:tabs>
                <w:tab w:val="left" w:pos="3240"/>
              </w:tabs>
              <w:jc w:val="right"/>
              <w:rPr>
                <w:rFonts w:hAnsi="Times New Roman" w:cs="宋体"/>
                <w:kern w:val="0"/>
                <w:sz w:val="21"/>
                <w:szCs w:val="21"/>
              </w:rPr>
            </w:pPr>
            <w:r>
              <w:rPr>
                <w:rFonts w:hAnsi="Times New Roman" w:cs="宋体"/>
                <w:kern w:val="0"/>
                <w:sz w:val="21"/>
                <w:szCs w:val="21"/>
              </w:rPr>
              <w:t>67</w:t>
            </w:r>
            <w:r>
              <w:rPr>
                <w:rFonts w:hAnsi="Times New Roman" w:cs="宋体" w:hint="eastAsia"/>
                <w:kern w:val="0"/>
                <w:sz w:val="21"/>
                <w:szCs w:val="21"/>
              </w:rPr>
              <w:t>,</w:t>
            </w:r>
            <w:r>
              <w:rPr>
                <w:rFonts w:hAnsi="Times New Roman" w:cs="宋体"/>
                <w:kern w:val="0"/>
                <w:sz w:val="21"/>
                <w:szCs w:val="21"/>
              </w:rPr>
              <w:t>900</w:t>
            </w:r>
            <w:r>
              <w:rPr>
                <w:rFonts w:hAnsi="Times New Roman" w:cs="宋体" w:hint="eastAsia"/>
                <w:kern w:val="0"/>
                <w:sz w:val="21"/>
                <w:szCs w:val="21"/>
              </w:rPr>
              <w:t>.</w:t>
            </w:r>
            <w:r>
              <w:rPr>
                <w:rFonts w:hAnsi="Times New Roman" w:cs="宋体"/>
                <w:kern w:val="0"/>
                <w:sz w:val="21"/>
                <w:szCs w:val="21"/>
              </w:rPr>
              <w:t>3</w:t>
            </w:r>
            <w:r>
              <w:rPr>
                <w:rFonts w:hAnsi="Times New Roman" w:cs="宋体" w:hint="eastAsia"/>
                <w:kern w:val="0"/>
                <w:sz w:val="21"/>
                <w:szCs w:val="21"/>
              </w:rPr>
              <w:t>1</w:t>
            </w:r>
          </w:p>
        </w:tc>
      </w:tr>
      <w:tr w:rsidR="00764ACD" w14:paraId="0B9910AA" w14:textId="77777777" w:rsidTr="00F47CAB">
        <w:trPr>
          <w:trHeight w:val="397"/>
        </w:trPr>
        <w:tc>
          <w:tcPr>
            <w:tcW w:w="1000" w:type="pct"/>
            <w:shd w:val="clear" w:color="auto" w:fill="F2F2F2" w:themeFill="background1" w:themeFillShade="F2"/>
          </w:tcPr>
          <w:p w14:paraId="3D994659" w14:textId="77777777" w:rsidR="00764ACD" w:rsidRDefault="00764ACD">
            <w:pPr>
              <w:tabs>
                <w:tab w:val="left" w:pos="3240"/>
              </w:tabs>
              <w:jc w:val="left"/>
              <w:rPr>
                <w:sz w:val="21"/>
                <w:szCs w:val="21"/>
              </w:rPr>
            </w:pPr>
          </w:p>
        </w:tc>
        <w:tc>
          <w:tcPr>
            <w:tcW w:w="2000" w:type="pct"/>
            <w:shd w:val="clear" w:color="auto" w:fill="F2F2F2" w:themeFill="background1" w:themeFillShade="F2"/>
            <w:vAlign w:val="center"/>
          </w:tcPr>
          <w:p w14:paraId="3C2CA849" w14:textId="77777777" w:rsidR="00764ACD" w:rsidRPr="00F31615" w:rsidRDefault="0095192E" w:rsidP="00B96AC6">
            <w:pPr>
              <w:tabs>
                <w:tab w:val="left" w:pos="3240"/>
              </w:tabs>
              <w:jc w:val="center"/>
              <w:rPr>
                <w:color w:val="000000" w:themeColor="text1"/>
                <w:sz w:val="21"/>
                <w:szCs w:val="21"/>
              </w:rPr>
            </w:pPr>
            <w:r w:rsidRPr="00F31615">
              <w:rPr>
                <w:color w:val="000000" w:themeColor="text1"/>
                <w:sz w:val="21"/>
                <w:szCs w:val="21"/>
              </w:rPr>
              <w:t>2022年1月-9月（未经审计）</w:t>
            </w:r>
          </w:p>
        </w:tc>
        <w:tc>
          <w:tcPr>
            <w:tcW w:w="2000" w:type="pct"/>
            <w:shd w:val="clear" w:color="auto" w:fill="F2F2F2" w:themeFill="background1" w:themeFillShade="F2"/>
            <w:vAlign w:val="center"/>
          </w:tcPr>
          <w:p w14:paraId="1840DE33" w14:textId="77777777" w:rsidR="00764ACD" w:rsidRDefault="0095192E" w:rsidP="00B96AC6">
            <w:pPr>
              <w:tabs>
                <w:tab w:val="left" w:pos="3240"/>
              </w:tabs>
              <w:jc w:val="center"/>
              <w:rPr>
                <w:sz w:val="21"/>
                <w:szCs w:val="21"/>
              </w:rPr>
            </w:pPr>
            <w:r>
              <w:rPr>
                <w:sz w:val="21"/>
                <w:szCs w:val="21"/>
              </w:rPr>
              <w:t>2021年度（经审计）</w:t>
            </w:r>
          </w:p>
        </w:tc>
      </w:tr>
      <w:tr w:rsidR="00764ACD" w14:paraId="717F8F64" w14:textId="77777777" w:rsidTr="00F47CAB">
        <w:trPr>
          <w:trHeight w:val="397"/>
        </w:trPr>
        <w:tc>
          <w:tcPr>
            <w:tcW w:w="1000" w:type="pct"/>
          </w:tcPr>
          <w:p w14:paraId="0A20FDD6" w14:textId="77777777" w:rsidR="00764ACD" w:rsidRDefault="0095192E">
            <w:pPr>
              <w:tabs>
                <w:tab w:val="left" w:pos="3240"/>
              </w:tabs>
              <w:jc w:val="left"/>
              <w:rPr>
                <w:sz w:val="21"/>
                <w:szCs w:val="21"/>
              </w:rPr>
            </w:pPr>
            <w:r>
              <w:rPr>
                <w:rFonts w:hint="eastAsia"/>
                <w:sz w:val="21"/>
                <w:szCs w:val="21"/>
              </w:rPr>
              <w:t>营业收入</w:t>
            </w:r>
          </w:p>
        </w:tc>
        <w:tc>
          <w:tcPr>
            <w:tcW w:w="2000" w:type="pct"/>
            <w:vAlign w:val="center"/>
          </w:tcPr>
          <w:p w14:paraId="2EB6B76F" w14:textId="77777777" w:rsidR="00764ACD" w:rsidRPr="00F31615" w:rsidRDefault="0095192E">
            <w:pPr>
              <w:tabs>
                <w:tab w:val="left" w:pos="3240"/>
              </w:tabs>
              <w:jc w:val="right"/>
              <w:rPr>
                <w:color w:val="000000" w:themeColor="text1"/>
                <w:sz w:val="21"/>
                <w:szCs w:val="21"/>
              </w:rPr>
            </w:pPr>
            <w:r w:rsidRPr="00F31615">
              <w:rPr>
                <w:rFonts w:hint="eastAsia"/>
                <w:color w:val="000000" w:themeColor="text1"/>
                <w:sz w:val="21"/>
                <w:szCs w:val="21"/>
              </w:rPr>
              <w:t>998.32</w:t>
            </w:r>
          </w:p>
        </w:tc>
        <w:tc>
          <w:tcPr>
            <w:tcW w:w="2000" w:type="pct"/>
            <w:vAlign w:val="center"/>
          </w:tcPr>
          <w:p w14:paraId="32A7FC1C" w14:textId="77777777" w:rsidR="00764ACD" w:rsidRDefault="0095192E">
            <w:pPr>
              <w:tabs>
                <w:tab w:val="left" w:pos="3240"/>
              </w:tabs>
              <w:jc w:val="right"/>
              <w:rPr>
                <w:sz w:val="21"/>
                <w:szCs w:val="21"/>
              </w:rPr>
            </w:pPr>
            <w:r>
              <w:rPr>
                <w:rFonts w:hAnsi="Times New Roman" w:cs="宋体"/>
                <w:kern w:val="0"/>
                <w:sz w:val="21"/>
                <w:szCs w:val="21"/>
              </w:rPr>
              <w:t>13</w:t>
            </w:r>
            <w:r>
              <w:rPr>
                <w:rFonts w:hAnsi="Times New Roman" w:cs="宋体" w:hint="eastAsia"/>
                <w:kern w:val="0"/>
                <w:sz w:val="21"/>
                <w:szCs w:val="21"/>
              </w:rPr>
              <w:t>,</w:t>
            </w:r>
            <w:r>
              <w:rPr>
                <w:rFonts w:hAnsi="Times New Roman" w:cs="宋体"/>
                <w:kern w:val="0"/>
                <w:sz w:val="21"/>
                <w:szCs w:val="21"/>
              </w:rPr>
              <w:t>245</w:t>
            </w:r>
            <w:r>
              <w:rPr>
                <w:rFonts w:hAnsi="Times New Roman" w:cs="宋体" w:hint="eastAsia"/>
                <w:kern w:val="0"/>
                <w:sz w:val="21"/>
                <w:szCs w:val="21"/>
              </w:rPr>
              <w:t>.01</w:t>
            </w:r>
          </w:p>
        </w:tc>
      </w:tr>
      <w:tr w:rsidR="00764ACD" w14:paraId="5D8E489A" w14:textId="77777777" w:rsidTr="00F47CAB">
        <w:trPr>
          <w:trHeight w:val="397"/>
        </w:trPr>
        <w:tc>
          <w:tcPr>
            <w:tcW w:w="1000" w:type="pct"/>
          </w:tcPr>
          <w:p w14:paraId="45ACEBA2" w14:textId="77777777" w:rsidR="00764ACD" w:rsidRDefault="0095192E">
            <w:pPr>
              <w:tabs>
                <w:tab w:val="left" w:pos="3240"/>
              </w:tabs>
              <w:jc w:val="left"/>
              <w:rPr>
                <w:sz w:val="21"/>
                <w:szCs w:val="21"/>
              </w:rPr>
            </w:pPr>
            <w:r>
              <w:rPr>
                <w:rFonts w:hint="eastAsia"/>
                <w:sz w:val="21"/>
                <w:szCs w:val="21"/>
              </w:rPr>
              <w:t>利润总额</w:t>
            </w:r>
          </w:p>
        </w:tc>
        <w:tc>
          <w:tcPr>
            <w:tcW w:w="2000" w:type="pct"/>
            <w:vAlign w:val="center"/>
          </w:tcPr>
          <w:p w14:paraId="15D88CE2" w14:textId="77777777" w:rsidR="00764ACD" w:rsidRPr="00F31615" w:rsidRDefault="0095192E">
            <w:pPr>
              <w:tabs>
                <w:tab w:val="left" w:pos="3240"/>
              </w:tabs>
              <w:jc w:val="right"/>
              <w:rPr>
                <w:color w:val="000000" w:themeColor="text1"/>
                <w:sz w:val="21"/>
                <w:szCs w:val="21"/>
              </w:rPr>
            </w:pPr>
            <w:r w:rsidRPr="00F31615">
              <w:rPr>
                <w:rFonts w:hint="eastAsia"/>
                <w:color w:val="000000" w:themeColor="text1"/>
                <w:sz w:val="21"/>
                <w:szCs w:val="21"/>
              </w:rPr>
              <w:t>-5,900.13</w:t>
            </w:r>
          </w:p>
        </w:tc>
        <w:tc>
          <w:tcPr>
            <w:tcW w:w="2000" w:type="pct"/>
            <w:vAlign w:val="center"/>
          </w:tcPr>
          <w:p w14:paraId="2FA16436" w14:textId="77777777" w:rsidR="00764ACD" w:rsidRDefault="0095192E">
            <w:pPr>
              <w:tabs>
                <w:tab w:val="left" w:pos="3240"/>
              </w:tabs>
              <w:jc w:val="right"/>
              <w:rPr>
                <w:sz w:val="21"/>
                <w:szCs w:val="21"/>
              </w:rPr>
            </w:pPr>
            <w:r>
              <w:rPr>
                <w:rFonts w:hAnsi="Times New Roman" w:cs="宋体"/>
                <w:kern w:val="0"/>
                <w:sz w:val="21"/>
                <w:szCs w:val="21"/>
              </w:rPr>
              <w:t>-4</w:t>
            </w:r>
            <w:r>
              <w:rPr>
                <w:rFonts w:hAnsi="Times New Roman" w:cs="宋体" w:hint="eastAsia"/>
                <w:kern w:val="0"/>
                <w:sz w:val="21"/>
                <w:szCs w:val="21"/>
              </w:rPr>
              <w:t>,</w:t>
            </w:r>
            <w:r>
              <w:rPr>
                <w:rFonts w:hAnsi="Times New Roman" w:cs="宋体"/>
                <w:kern w:val="0"/>
                <w:sz w:val="21"/>
                <w:szCs w:val="21"/>
              </w:rPr>
              <w:t>823</w:t>
            </w:r>
            <w:r>
              <w:rPr>
                <w:rFonts w:hAnsi="Times New Roman" w:cs="宋体" w:hint="eastAsia"/>
                <w:kern w:val="0"/>
                <w:sz w:val="21"/>
                <w:szCs w:val="21"/>
              </w:rPr>
              <w:t>.</w:t>
            </w:r>
            <w:r>
              <w:rPr>
                <w:rFonts w:hAnsi="Times New Roman" w:cs="宋体"/>
                <w:kern w:val="0"/>
                <w:sz w:val="21"/>
                <w:szCs w:val="21"/>
              </w:rPr>
              <w:t>3</w:t>
            </w:r>
            <w:r>
              <w:rPr>
                <w:rFonts w:hAnsi="Times New Roman" w:cs="宋体" w:hint="eastAsia"/>
                <w:kern w:val="0"/>
                <w:sz w:val="21"/>
                <w:szCs w:val="21"/>
              </w:rPr>
              <w:t>8</w:t>
            </w:r>
          </w:p>
        </w:tc>
      </w:tr>
      <w:tr w:rsidR="00764ACD" w14:paraId="36F06BB7" w14:textId="77777777" w:rsidTr="00F47CAB">
        <w:trPr>
          <w:trHeight w:val="397"/>
        </w:trPr>
        <w:tc>
          <w:tcPr>
            <w:tcW w:w="1000" w:type="pct"/>
          </w:tcPr>
          <w:p w14:paraId="368425BF" w14:textId="77777777" w:rsidR="00764ACD" w:rsidRDefault="0095192E">
            <w:pPr>
              <w:tabs>
                <w:tab w:val="left" w:pos="3240"/>
              </w:tabs>
              <w:jc w:val="left"/>
              <w:rPr>
                <w:sz w:val="21"/>
                <w:szCs w:val="21"/>
              </w:rPr>
            </w:pPr>
            <w:r>
              <w:rPr>
                <w:rFonts w:hint="eastAsia"/>
                <w:sz w:val="21"/>
                <w:szCs w:val="21"/>
              </w:rPr>
              <w:t>净利润</w:t>
            </w:r>
          </w:p>
        </w:tc>
        <w:tc>
          <w:tcPr>
            <w:tcW w:w="2000" w:type="pct"/>
            <w:vAlign w:val="center"/>
          </w:tcPr>
          <w:p w14:paraId="06A8D626" w14:textId="77777777" w:rsidR="00764ACD" w:rsidRPr="00F31615" w:rsidRDefault="0095192E">
            <w:pPr>
              <w:tabs>
                <w:tab w:val="left" w:pos="3240"/>
              </w:tabs>
              <w:jc w:val="right"/>
              <w:rPr>
                <w:color w:val="000000" w:themeColor="text1"/>
                <w:sz w:val="21"/>
                <w:szCs w:val="21"/>
              </w:rPr>
            </w:pPr>
            <w:r w:rsidRPr="00F31615">
              <w:rPr>
                <w:rFonts w:hint="eastAsia"/>
                <w:color w:val="000000" w:themeColor="text1"/>
                <w:sz w:val="21"/>
                <w:szCs w:val="21"/>
              </w:rPr>
              <w:t>-5,317.45</w:t>
            </w:r>
          </w:p>
        </w:tc>
        <w:tc>
          <w:tcPr>
            <w:tcW w:w="2000" w:type="pct"/>
            <w:vAlign w:val="center"/>
          </w:tcPr>
          <w:p w14:paraId="162C2768" w14:textId="77777777" w:rsidR="00764ACD" w:rsidRDefault="0095192E">
            <w:pPr>
              <w:tabs>
                <w:tab w:val="left" w:pos="3240"/>
              </w:tabs>
              <w:jc w:val="right"/>
              <w:rPr>
                <w:rFonts w:hAnsi="Times New Roman" w:cs="宋体"/>
                <w:kern w:val="0"/>
                <w:sz w:val="21"/>
                <w:szCs w:val="21"/>
              </w:rPr>
            </w:pPr>
            <w:r>
              <w:rPr>
                <w:rFonts w:hAnsi="Times New Roman" w:cs="宋体"/>
                <w:kern w:val="0"/>
                <w:sz w:val="21"/>
                <w:szCs w:val="21"/>
              </w:rPr>
              <w:t>-3</w:t>
            </w:r>
            <w:r>
              <w:rPr>
                <w:rFonts w:hAnsi="Times New Roman" w:cs="宋体" w:hint="eastAsia"/>
                <w:kern w:val="0"/>
                <w:sz w:val="21"/>
                <w:szCs w:val="21"/>
              </w:rPr>
              <w:t>,</w:t>
            </w:r>
            <w:r>
              <w:rPr>
                <w:rFonts w:hAnsi="Times New Roman" w:cs="宋体"/>
                <w:kern w:val="0"/>
                <w:sz w:val="21"/>
                <w:szCs w:val="21"/>
              </w:rPr>
              <w:t>046</w:t>
            </w:r>
            <w:r>
              <w:rPr>
                <w:rFonts w:hAnsi="Times New Roman" w:cs="宋体" w:hint="eastAsia"/>
                <w:kern w:val="0"/>
                <w:sz w:val="21"/>
                <w:szCs w:val="21"/>
              </w:rPr>
              <w:t>.51</w:t>
            </w:r>
          </w:p>
        </w:tc>
      </w:tr>
    </w:tbl>
    <w:p w14:paraId="40612864" w14:textId="36197B91" w:rsidR="00764ACD" w:rsidRDefault="004620B5">
      <w:pPr>
        <w:snapToGrid w:val="0"/>
        <w:spacing w:line="480" w:lineRule="exact"/>
        <w:ind w:firstLineChars="200" w:firstLine="482"/>
        <w:rPr>
          <w:b/>
          <w:sz w:val="24"/>
        </w:rPr>
      </w:pPr>
      <w:r>
        <w:rPr>
          <w:rFonts w:hint="eastAsia"/>
          <w:b/>
          <w:sz w:val="24"/>
        </w:rPr>
        <w:t>三、</w:t>
      </w:r>
      <w:r w:rsidR="0095192E">
        <w:rPr>
          <w:rFonts w:hint="eastAsia"/>
          <w:b/>
          <w:sz w:val="24"/>
        </w:rPr>
        <w:t>协议的主要内容</w:t>
      </w:r>
    </w:p>
    <w:p w14:paraId="6ADF5750" w14:textId="5FF914FA" w:rsidR="004620B5" w:rsidRDefault="004620B5" w:rsidP="004620B5">
      <w:pPr>
        <w:snapToGrid w:val="0"/>
        <w:spacing w:line="480" w:lineRule="exact"/>
        <w:ind w:firstLineChars="200" w:firstLine="480"/>
        <w:rPr>
          <w:sz w:val="24"/>
        </w:rPr>
      </w:pPr>
      <w:r>
        <w:rPr>
          <w:sz w:val="24"/>
        </w:rPr>
        <w:lastRenderedPageBreak/>
        <w:t>根据公司控股子公司业务发展需要</w:t>
      </w:r>
      <w:r>
        <w:rPr>
          <w:rFonts w:hint="eastAsia"/>
          <w:sz w:val="24"/>
        </w:rPr>
        <w:t>，三河湘德向沧州银行股份有限公司燕郊支行</w:t>
      </w:r>
      <w:r>
        <w:rPr>
          <w:sz w:val="24"/>
        </w:rPr>
        <w:t>申请开发贷款展期金额</w:t>
      </w:r>
      <w:r>
        <w:rPr>
          <w:rFonts w:hint="eastAsia"/>
          <w:sz w:val="24"/>
        </w:rPr>
        <w:t>1</w:t>
      </w:r>
      <w:r>
        <w:rPr>
          <w:sz w:val="24"/>
        </w:rPr>
        <w:t>.7</w:t>
      </w:r>
      <w:r>
        <w:rPr>
          <w:rFonts w:hint="eastAsia"/>
          <w:sz w:val="24"/>
        </w:rPr>
        <w:t>亿元</w:t>
      </w:r>
      <w:r w:rsidRPr="004620B5">
        <w:rPr>
          <w:sz w:val="24"/>
        </w:rPr>
        <w:t>，</w:t>
      </w:r>
      <w:r w:rsidRPr="007C6F65">
        <w:rPr>
          <w:sz w:val="24"/>
        </w:rPr>
        <w:t>以其自有的冀（2018）三河市不动产权第0038111号土地使用权作为抵押物，</w:t>
      </w:r>
      <w:r w:rsidRPr="007C6F65">
        <w:rPr>
          <w:rFonts w:hint="eastAsia"/>
          <w:sz w:val="24"/>
        </w:rPr>
        <w:t>为</w:t>
      </w:r>
      <w:r w:rsidRPr="004620B5">
        <w:rPr>
          <w:rFonts w:hint="eastAsia"/>
          <w:sz w:val="24"/>
        </w:rPr>
        <w:t>前述借款事项提供抵押担保。除此之外，上述抵押物不存在抵押、质押或者其他第三人权利、不存在涉及有关资产的重大争议、诉讼或仲裁事项、不存在查封、冻结等司法措施等情况。本公司为上述事项提供</w:t>
      </w:r>
      <w:r w:rsidRPr="004620B5">
        <w:rPr>
          <w:sz w:val="24"/>
        </w:rPr>
        <w:t>连带责任保证担保，</w:t>
      </w:r>
      <w:r>
        <w:rPr>
          <w:rFonts w:hint="eastAsia"/>
          <w:sz w:val="24"/>
        </w:rPr>
        <w:t>担保期限为自本《借款展期</w:t>
      </w:r>
      <w:r w:rsidRPr="004620B5">
        <w:rPr>
          <w:rFonts w:hint="eastAsia"/>
          <w:sz w:val="24"/>
        </w:rPr>
        <w:t>协议</w:t>
      </w:r>
      <w:r>
        <w:rPr>
          <w:rFonts w:hint="eastAsia"/>
          <w:sz w:val="24"/>
        </w:rPr>
        <w:t>》</w:t>
      </w:r>
      <w:r w:rsidRPr="004620B5">
        <w:rPr>
          <w:rFonts w:hint="eastAsia"/>
          <w:sz w:val="24"/>
        </w:rPr>
        <w:t>约定的借款展期到期之次日</w:t>
      </w:r>
      <w:r>
        <w:rPr>
          <w:rFonts w:hint="eastAsia"/>
          <w:sz w:val="24"/>
        </w:rPr>
        <w:t>起两年，</w:t>
      </w:r>
      <w:r w:rsidRPr="004620B5">
        <w:rPr>
          <w:rFonts w:hint="eastAsia"/>
          <w:sz w:val="24"/>
        </w:rPr>
        <w:t>保证范围包括但不限于主合同项下的债权本金及利息、损害赔偿金等。</w:t>
      </w:r>
    </w:p>
    <w:p w14:paraId="361D59C6" w14:textId="77777777" w:rsidR="00764ACD" w:rsidRDefault="0095192E">
      <w:pPr>
        <w:snapToGrid w:val="0"/>
        <w:spacing w:line="480" w:lineRule="exact"/>
        <w:ind w:firstLineChars="200" w:firstLine="480"/>
        <w:rPr>
          <w:sz w:val="24"/>
        </w:rPr>
      </w:pPr>
      <w:r w:rsidRPr="00A3042F">
        <w:rPr>
          <w:sz w:val="24"/>
        </w:rPr>
        <w:t>三河湘德为公司全资子公司上海三湘（集团）有限公司实际运营管理的控股子公司，</w:t>
      </w:r>
      <w:r>
        <w:rPr>
          <w:rFonts w:hint="eastAsia"/>
          <w:sz w:val="24"/>
        </w:rPr>
        <w:t>其他间接股东未提供同比例担保，本次担保不涉及反担保。</w:t>
      </w:r>
      <w:r w:rsidRPr="00A3042F">
        <w:rPr>
          <w:sz w:val="24"/>
        </w:rPr>
        <w:t>三河湘德资信状况良好，具备持续经营能力和偿还债务能力，且三河湘德已向银行提供了相关抵押，</w:t>
      </w:r>
      <w:r>
        <w:rPr>
          <w:rFonts w:hint="eastAsia"/>
          <w:sz w:val="24"/>
        </w:rPr>
        <w:t>公司将加强对三河湘德的</w:t>
      </w:r>
      <w:r>
        <w:rPr>
          <w:sz w:val="24"/>
        </w:rPr>
        <w:t>生产经营管理风险及决策，及时掌控其资信状况，确保</w:t>
      </w:r>
      <w:r w:rsidRPr="00A3042F">
        <w:rPr>
          <w:sz w:val="24"/>
        </w:rPr>
        <w:t>担保风险处于可控范围内，</w:t>
      </w:r>
      <w:r>
        <w:rPr>
          <w:rFonts w:hint="eastAsia"/>
          <w:sz w:val="24"/>
        </w:rPr>
        <w:t>不会损害公司和股东权益。</w:t>
      </w:r>
    </w:p>
    <w:p w14:paraId="1F09DE84" w14:textId="77777777" w:rsidR="00764ACD" w:rsidRDefault="0095192E">
      <w:pPr>
        <w:snapToGrid w:val="0"/>
        <w:spacing w:line="480" w:lineRule="exact"/>
        <w:ind w:firstLineChars="200" w:firstLine="482"/>
        <w:rPr>
          <w:b/>
          <w:color w:val="000000"/>
          <w:sz w:val="24"/>
        </w:rPr>
      </w:pPr>
      <w:r>
        <w:rPr>
          <w:rFonts w:hint="eastAsia"/>
          <w:b/>
          <w:sz w:val="24"/>
        </w:rPr>
        <w:t>四、董事会意见</w:t>
      </w:r>
    </w:p>
    <w:p w14:paraId="58AA42C5" w14:textId="77777777" w:rsidR="00764ACD" w:rsidRDefault="0095192E">
      <w:pPr>
        <w:snapToGrid w:val="0"/>
        <w:spacing w:line="480" w:lineRule="exact"/>
        <w:ind w:firstLineChars="200" w:firstLine="480"/>
        <w:rPr>
          <w:sz w:val="24"/>
        </w:rPr>
      </w:pPr>
      <w:r>
        <w:rPr>
          <w:rFonts w:hint="eastAsia"/>
          <w:sz w:val="24"/>
        </w:rPr>
        <w:t>公司第八届董事会第八次（临时）会议审议通过了公司</w:t>
      </w:r>
      <w:r>
        <w:rPr>
          <w:sz w:val="24"/>
        </w:rPr>
        <w:t>2022年预计新增对外担保事项，</w:t>
      </w:r>
      <w:r>
        <w:rPr>
          <w:rFonts w:hint="eastAsia"/>
          <w:sz w:val="24"/>
        </w:rPr>
        <w:t>公司董事会认为：</w:t>
      </w:r>
      <w:r>
        <w:rPr>
          <w:rFonts w:ascii="Times New Roman" w:hAnsi="Times New Roman"/>
          <w:sz w:val="24"/>
        </w:rPr>
        <w:t>本次</w:t>
      </w:r>
      <w:r>
        <w:rPr>
          <w:rFonts w:ascii="Times New Roman" w:hAnsi="Times New Roman"/>
          <w:sz w:val="24"/>
        </w:rPr>
        <w:t>202</w:t>
      </w:r>
      <w:r>
        <w:rPr>
          <w:rFonts w:ascii="Times New Roman" w:hAnsi="Times New Roman" w:hint="eastAsia"/>
          <w:sz w:val="24"/>
        </w:rPr>
        <w:t>2</w:t>
      </w:r>
      <w:r>
        <w:rPr>
          <w:rFonts w:ascii="Times New Roman" w:hAnsi="Times New Roman"/>
          <w:sz w:val="24"/>
        </w:rPr>
        <w:t>年度预计新增对外担保的事项所涉担保对象均为合并报表范围内的各级子公司，</w:t>
      </w:r>
      <w:r>
        <w:rPr>
          <w:rFonts w:ascii="Times New Roman" w:hAnsi="Times New Roman" w:hint="eastAsia"/>
          <w:sz w:val="24"/>
        </w:rPr>
        <w:t>为满足公司及合并报表范围内的各级子公司</w:t>
      </w:r>
      <w:r>
        <w:rPr>
          <w:rFonts w:ascii="Times New Roman" w:hAnsi="Times New Roman"/>
          <w:sz w:val="24"/>
        </w:rPr>
        <w:t>202</w:t>
      </w:r>
      <w:r>
        <w:rPr>
          <w:rFonts w:ascii="Times New Roman" w:hAnsi="Times New Roman" w:hint="eastAsia"/>
          <w:sz w:val="24"/>
        </w:rPr>
        <w:t>2</w:t>
      </w:r>
      <w:r>
        <w:rPr>
          <w:rFonts w:ascii="Times New Roman" w:hAnsi="Times New Roman"/>
          <w:sz w:val="24"/>
        </w:rPr>
        <w:t>年度项目开发及日常经营的资金需要</w:t>
      </w:r>
      <w:r>
        <w:rPr>
          <w:rFonts w:ascii="Times New Roman" w:hAnsi="Times New Roman" w:hint="eastAsia"/>
          <w:sz w:val="24"/>
        </w:rPr>
        <w:t>；公司拟</w:t>
      </w:r>
      <w:r>
        <w:rPr>
          <w:rFonts w:ascii="Times New Roman" w:hAnsi="Times New Roman"/>
          <w:sz w:val="24"/>
        </w:rPr>
        <w:t>在合规情况下</w:t>
      </w:r>
      <w:r>
        <w:rPr>
          <w:rFonts w:ascii="Times New Roman" w:hAnsi="Times New Roman" w:hint="eastAsia"/>
          <w:sz w:val="24"/>
        </w:rPr>
        <w:t>，为合并报表范围内的各级子公司</w:t>
      </w:r>
      <w:r>
        <w:rPr>
          <w:rFonts w:ascii="Times New Roman" w:hAnsi="Times New Roman"/>
          <w:sz w:val="24"/>
        </w:rPr>
        <w:t>提供融资担保支持</w:t>
      </w:r>
      <w:r>
        <w:rPr>
          <w:rFonts w:ascii="Times New Roman" w:hAnsi="Times New Roman" w:hint="eastAsia"/>
          <w:sz w:val="24"/>
        </w:rPr>
        <w:t>，上述子公司信用状况良好，具备相应的偿债能力；在实际担保发生或签订担保协议时，公司将按规定要求控股子公司其他股东按其持股比例提供相应的担保或反担保。若未能提供同等担保或反担保，在担保期限内公司有能力控制控股子公司的生产经营管理风险及决策，可及时掌控其资信状况，确保担保风险处于可控范围内。为上述子公司提供担保</w:t>
      </w:r>
      <w:r>
        <w:rPr>
          <w:rFonts w:ascii="Times New Roman" w:hAnsi="Times New Roman"/>
          <w:sz w:val="24"/>
        </w:rPr>
        <w:t>不会损害公司和股东权益，同意上述担保事项。</w:t>
      </w:r>
    </w:p>
    <w:p w14:paraId="16D07116" w14:textId="77777777" w:rsidR="00764ACD" w:rsidRDefault="0095192E">
      <w:pPr>
        <w:snapToGrid w:val="0"/>
        <w:spacing w:line="480" w:lineRule="exact"/>
        <w:ind w:firstLineChars="200" w:firstLine="482"/>
        <w:rPr>
          <w:b/>
          <w:color w:val="000000"/>
          <w:sz w:val="24"/>
        </w:rPr>
      </w:pPr>
      <w:r>
        <w:rPr>
          <w:rFonts w:hint="eastAsia"/>
          <w:b/>
          <w:sz w:val="24"/>
        </w:rPr>
        <w:t>五、累计对外担保数量及逾期担保的数量</w:t>
      </w:r>
    </w:p>
    <w:p w14:paraId="558F1396" w14:textId="17ADD8B0" w:rsidR="00764ACD" w:rsidRDefault="004638C3">
      <w:pPr>
        <w:snapToGrid w:val="0"/>
        <w:spacing w:line="480" w:lineRule="exact"/>
        <w:ind w:firstLineChars="200" w:firstLine="480"/>
        <w:rPr>
          <w:sz w:val="24"/>
        </w:rPr>
      </w:pPr>
      <w:r>
        <w:rPr>
          <w:rFonts w:hint="eastAsia"/>
          <w:sz w:val="24"/>
        </w:rPr>
        <w:t>截至本公告日，本次担保后，公司及其控股子公司的担保额度总金额</w:t>
      </w:r>
      <w:r w:rsidR="00046D5C">
        <w:rPr>
          <w:rFonts w:hint="eastAsia"/>
          <w:sz w:val="24"/>
        </w:rPr>
        <w:t>为</w:t>
      </w:r>
      <w:r w:rsidR="0095192E" w:rsidRPr="00474E34">
        <w:rPr>
          <w:rFonts w:hint="eastAsia"/>
          <w:sz w:val="24"/>
        </w:rPr>
        <w:t>172，650.00万元</w:t>
      </w:r>
      <w:r w:rsidR="0095192E" w:rsidRPr="00474E34">
        <w:rPr>
          <w:sz w:val="24"/>
        </w:rPr>
        <w:t>，占公司最近一期经审计净资产的</w:t>
      </w:r>
      <w:r w:rsidR="0095192E" w:rsidRPr="00474E34">
        <w:rPr>
          <w:rFonts w:hint="eastAsia"/>
          <w:sz w:val="24"/>
        </w:rPr>
        <w:t>37.89</w:t>
      </w:r>
      <w:r w:rsidR="0095192E" w:rsidRPr="00474E34">
        <w:rPr>
          <w:sz w:val="24"/>
        </w:rPr>
        <w:t>%</w:t>
      </w:r>
      <w:r w:rsidR="0095192E" w:rsidRPr="00474E34">
        <w:rPr>
          <w:rFonts w:hint="eastAsia"/>
          <w:sz w:val="24"/>
        </w:rPr>
        <w:t>。公司及控股子公司对外担保总余额</w:t>
      </w:r>
      <w:r w:rsidRPr="00474E34">
        <w:rPr>
          <w:sz w:val="24"/>
        </w:rPr>
        <w:t>为</w:t>
      </w:r>
      <w:r w:rsidR="00474E34" w:rsidRPr="00474E34">
        <w:rPr>
          <w:rFonts w:hint="eastAsia"/>
          <w:sz w:val="24"/>
        </w:rPr>
        <w:t>130,192.86</w:t>
      </w:r>
      <w:r w:rsidR="0095192E" w:rsidRPr="00474E34">
        <w:rPr>
          <w:sz w:val="24"/>
        </w:rPr>
        <w:t>万元，占公司最近一期经审计净资产的</w:t>
      </w:r>
      <w:r w:rsidR="00474E34" w:rsidRPr="00474E34">
        <w:rPr>
          <w:rFonts w:hint="eastAsia"/>
          <w:sz w:val="24"/>
        </w:rPr>
        <w:t>28.57</w:t>
      </w:r>
      <w:r w:rsidR="0095192E" w:rsidRPr="00474E34">
        <w:rPr>
          <w:sz w:val="24"/>
        </w:rPr>
        <w:t>%，其中对合并报表外公司提供的担保</w:t>
      </w:r>
      <w:r w:rsidR="0095192E" w:rsidRPr="00474E34">
        <w:rPr>
          <w:rFonts w:hint="eastAsia"/>
          <w:sz w:val="24"/>
        </w:rPr>
        <w:t>总</w:t>
      </w:r>
      <w:r w:rsidR="0095192E" w:rsidRPr="00474E34">
        <w:rPr>
          <w:sz w:val="24"/>
        </w:rPr>
        <w:t>余额为</w:t>
      </w:r>
      <w:r w:rsidR="00474E34" w:rsidRPr="00474E34">
        <w:rPr>
          <w:rFonts w:hint="eastAsia"/>
          <w:sz w:val="24"/>
        </w:rPr>
        <w:t>37,132.86</w:t>
      </w:r>
      <w:r w:rsidR="0095192E" w:rsidRPr="00474E34">
        <w:rPr>
          <w:sz w:val="24"/>
        </w:rPr>
        <w:t>万元，占公司最近一期经审计</w:t>
      </w:r>
      <w:r w:rsidR="0095192E" w:rsidRPr="00474E34">
        <w:rPr>
          <w:sz w:val="24"/>
        </w:rPr>
        <w:lastRenderedPageBreak/>
        <w:t>净资产的</w:t>
      </w:r>
      <w:r w:rsidR="00474E34" w:rsidRPr="00474E34">
        <w:rPr>
          <w:rFonts w:hint="eastAsia"/>
          <w:sz w:val="24"/>
        </w:rPr>
        <w:t>8.15</w:t>
      </w:r>
      <w:r w:rsidR="0095192E" w:rsidRPr="00474E34">
        <w:rPr>
          <w:sz w:val="24"/>
        </w:rPr>
        <w:t>%。无逾期担保金额、涉及诉讼的担保金额及</w:t>
      </w:r>
      <w:r w:rsidR="0095192E">
        <w:rPr>
          <w:sz w:val="24"/>
        </w:rPr>
        <w:t>因担保被判决败诉而应承担的损失金额。</w:t>
      </w:r>
    </w:p>
    <w:p w14:paraId="6CEF3CFA" w14:textId="77777777" w:rsidR="00764ACD" w:rsidRDefault="0095192E">
      <w:pPr>
        <w:snapToGrid w:val="0"/>
        <w:spacing w:line="480" w:lineRule="exact"/>
        <w:ind w:firstLineChars="200" w:firstLine="482"/>
        <w:rPr>
          <w:b/>
          <w:sz w:val="24"/>
        </w:rPr>
      </w:pPr>
      <w:r>
        <w:rPr>
          <w:b/>
          <w:sz w:val="24"/>
        </w:rPr>
        <w:t>六、备查文件</w:t>
      </w:r>
    </w:p>
    <w:p w14:paraId="31033AB5" w14:textId="04B60D40" w:rsidR="00764ACD" w:rsidRDefault="00027E39">
      <w:pPr>
        <w:snapToGrid w:val="0"/>
        <w:spacing w:line="480" w:lineRule="exact"/>
        <w:ind w:firstLineChars="200" w:firstLine="480"/>
        <w:rPr>
          <w:sz w:val="24"/>
        </w:rPr>
      </w:pPr>
      <w:r>
        <w:rPr>
          <w:rFonts w:hint="eastAsia"/>
          <w:sz w:val="24"/>
        </w:rPr>
        <w:t>借款展期协议</w:t>
      </w:r>
      <w:r w:rsidR="0095192E">
        <w:rPr>
          <w:rFonts w:hint="eastAsia"/>
          <w:sz w:val="24"/>
        </w:rPr>
        <w:t>。</w:t>
      </w:r>
    </w:p>
    <w:p w14:paraId="63EFFD34" w14:textId="77777777" w:rsidR="00764ACD" w:rsidRDefault="0095192E">
      <w:pPr>
        <w:snapToGrid w:val="0"/>
        <w:spacing w:beforeLines="50" w:before="156" w:line="480" w:lineRule="exact"/>
        <w:ind w:firstLineChars="200" w:firstLine="480"/>
        <w:rPr>
          <w:sz w:val="24"/>
        </w:rPr>
      </w:pPr>
      <w:r>
        <w:rPr>
          <w:sz w:val="24"/>
        </w:rPr>
        <w:t>特此公告。</w:t>
      </w:r>
    </w:p>
    <w:p w14:paraId="08D1B0BA" w14:textId="77777777" w:rsidR="00764ACD" w:rsidRDefault="0095192E">
      <w:pPr>
        <w:snapToGrid w:val="0"/>
        <w:spacing w:line="480" w:lineRule="exact"/>
        <w:ind w:firstLine="4160"/>
        <w:jc w:val="right"/>
        <w:rPr>
          <w:sz w:val="24"/>
        </w:rPr>
      </w:pPr>
      <w:r>
        <w:rPr>
          <w:rFonts w:hint="eastAsia"/>
          <w:sz w:val="24"/>
        </w:rPr>
        <w:t>三湘印象股份有限公司董事会</w:t>
      </w:r>
    </w:p>
    <w:p w14:paraId="6F757435" w14:textId="3DAD2785" w:rsidR="00764ACD" w:rsidRDefault="0095192E">
      <w:pPr>
        <w:snapToGrid w:val="0"/>
        <w:spacing w:line="480" w:lineRule="exact"/>
        <w:ind w:firstLineChars="1650" w:firstLine="3960"/>
        <w:jc w:val="right"/>
        <w:rPr>
          <w:sz w:val="24"/>
        </w:rPr>
      </w:pPr>
      <w:r>
        <w:rPr>
          <w:rFonts w:hint="eastAsia"/>
          <w:sz w:val="24"/>
        </w:rPr>
        <w:t xml:space="preserve"> </w:t>
      </w:r>
      <w:r>
        <w:rPr>
          <w:sz w:val="24"/>
        </w:rPr>
        <w:t>2022</w:t>
      </w:r>
      <w:r>
        <w:rPr>
          <w:rFonts w:hint="eastAsia"/>
          <w:sz w:val="24"/>
        </w:rPr>
        <w:t>年</w:t>
      </w:r>
      <w:r>
        <w:rPr>
          <w:sz w:val="24"/>
        </w:rPr>
        <w:t>12</w:t>
      </w:r>
      <w:r>
        <w:rPr>
          <w:rFonts w:hint="eastAsia"/>
          <w:sz w:val="24"/>
        </w:rPr>
        <w:t>月</w:t>
      </w:r>
      <w:r w:rsidR="00AC0421">
        <w:rPr>
          <w:rFonts w:hint="eastAsia"/>
          <w:sz w:val="24"/>
        </w:rPr>
        <w:t>2</w:t>
      </w:r>
      <w:r w:rsidR="00AC0421">
        <w:rPr>
          <w:sz w:val="24"/>
        </w:rPr>
        <w:t>9</w:t>
      </w:r>
      <w:r>
        <w:rPr>
          <w:rFonts w:hint="eastAsia"/>
          <w:sz w:val="24"/>
        </w:rPr>
        <w:t xml:space="preserve">日 </w:t>
      </w:r>
    </w:p>
    <w:sectPr w:rsidR="00764AC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F16CA" w14:textId="77777777" w:rsidR="00004DFA" w:rsidRDefault="00004DFA">
      <w:r>
        <w:separator/>
      </w:r>
    </w:p>
  </w:endnote>
  <w:endnote w:type="continuationSeparator" w:id="0">
    <w:p w14:paraId="754031FE" w14:textId="77777777" w:rsidR="00004DFA" w:rsidRDefault="0000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651791"/>
    </w:sdtPr>
    <w:sdtEndPr/>
    <w:sdtContent>
      <w:p w14:paraId="6DBE0B21" w14:textId="77777777" w:rsidR="00764ACD" w:rsidRDefault="0095192E">
        <w:pPr>
          <w:pStyle w:val="a5"/>
          <w:jc w:val="center"/>
        </w:pPr>
        <w:r>
          <w:fldChar w:fldCharType="begin"/>
        </w:r>
        <w:r>
          <w:instrText>PAGE   \* MERGEFORMAT</w:instrText>
        </w:r>
        <w:r>
          <w:fldChar w:fldCharType="separate"/>
        </w:r>
        <w:r w:rsidR="00B61F09" w:rsidRPr="00B61F09">
          <w:rPr>
            <w:noProof/>
            <w:lang w:val="zh-CN"/>
          </w:rPr>
          <w:t>4</w:t>
        </w:r>
        <w:r>
          <w:fldChar w:fldCharType="end"/>
        </w:r>
      </w:p>
    </w:sdtContent>
  </w:sdt>
  <w:p w14:paraId="2EBDD265" w14:textId="77777777" w:rsidR="00764ACD" w:rsidRDefault="00764A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38A08" w14:textId="77777777" w:rsidR="00004DFA" w:rsidRDefault="00004DFA">
      <w:r>
        <w:separator/>
      </w:r>
    </w:p>
  </w:footnote>
  <w:footnote w:type="continuationSeparator" w:id="0">
    <w:p w14:paraId="5B5FE9D9" w14:textId="77777777" w:rsidR="00004DFA" w:rsidRDefault="00004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xOWZhZmVhZDhlN2I4NGE0NWY3MzRiMTJmOWE1ZmUifQ=="/>
  </w:docVars>
  <w:rsids>
    <w:rsidRoot w:val="00CE4B2F"/>
    <w:rsid w:val="00004DFA"/>
    <w:rsid w:val="00012284"/>
    <w:rsid w:val="000160F0"/>
    <w:rsid w:val="0002235B"/>
    <w:rsid w:val="000241C4"/>
    <w:rsid w:val="00026BFD"/>
    <w:rsid w:val="00027E39"/>
    <w:rsid w:val="00033B04"/>
    <w:rsid w:val="0003467F"/>
    <w:rsid w:val="000357CA"/>
    <w:rsid w:val="00037069"/>
    <w:rsid w:val="00042296"/>
    <w:rsid w:val="00046725"/>
    <w:rsid w:val="00046D5C"/>
    <w:rsid w:val="000506FB"/>
    <w:rsid w:val="00061475"/>
    <w:rsid w:val="000632B9"/>
    <w:rsid w:val="0006333B"/>
    <w:rsid w:val="00065841"/>
    <w:rsid w:val="0007450D"/>
    <w:rsid w:val="000748E7"/>
    <w:rsid w:val="00074A28"/>
    <w:rsid w:val="0008012E"/>
    <w:rsid w:val="0009270B"/>
    <w:rsid w:val="0009513F"/>
    <w:rsid w:val="00097C0D"/>
    <w:rsid w:val="000A653C"/>
    <w:rsid w:val="000B2796"/>
    <w:rsid w:val="000B6068"/>
    <w:rsid w:val="000C1EC5"/>
    <w:rsid w:val="000D0116"/>
    <w:rsid w:val="000D12CF"/>
    <w:rsid w:val="000E5E08"/>
    <w:rsid w:val="000E7D31"/>
    <w:rsid w:val="00101B40"/>
    <w:rsid w:val="00111C99"/>
    <w:rsid w:val="00115ED0"/>
    <w:rsid w:val="0012227C"/>
    <w:rsid w:val="00124F7B"/>
    <w:rsid w:val="00125A1C"/>
    <w:rsid w:val="00136B33"/>
    <w:rsid w:val="00136B6B"/>
    <w:rsid w:val="001429BE"/>
    <w:rsid w:val="001507C5"/>
    <w:rsid w:val="00155269"/>
    <w:rsid w:val="0015570B"/>
    <w:rsid w:val="00162DBC"/>
    <w:rsid w:val="00166F12"/>
    <w:rsid w:val="001814A3"/>
    <w:rsid w:val="00182ED2"/>
    <w:rsid w:val="00183BA3"/>
    <w:rsid w:val="00187EB3"/>
    <w:rsid w:val="00191742"/>
    <w:rsid w:val="00194514"/>
    <w:rsid w:val="00196994"/>
    <w:rsid w:val="001A1854"/>
    <w:rsid w:val="001A2178"/>
    <w:rsid w:val="001A51FE"/>
    <w:rsid w:val="001A5B8A"/>
    <w:rsid w:val="001B041D"/>
    <w:rsid w:val="001B1E8F"/>
    <w:rsid w:val="001C08AE"/>
    <w:rsid w:val="001C5741"/>
    <w:rsid w:val="001C672D"/>
    <w:rsid w:val="001D4739"/>
    <w:rsid w:val="001D6170"/>
    <w:rsid w:val="001E308A"/>
    <w:rsid w:val="001E7212"/>
    <w:rsid w:val="001F5A6D"/>
    <w:rsid w:val="00207274"/>
    <w:rsid w:val="0021546B"/>
    <w:rsid w:val="002162CA"/>
    <w:rsid w:val="00230DC7"/>
    <w:rsid w:val="00235EF9"/>
    <w:rsid w:val="00237726"/>
    <w:rsid w:val="00237F5A"/>
    <w:rsid w:val="002437FC"/>
    <w:rsid w:val="00243CBE"/>
    <w:rsid w:val="00244A13"/>
    <w:rsid w:val="00255D52"/>
    <w:rsid w:val="00265A6A"/>
    <w:rsid w:val="00265FDB"/>
    <w:rsid w:val="002720AB"/>
    <w:rsid w:val="002770A6"/>
    <w:rsid w:val="002843B8"/>
    <w:rsid w:val="002A3C4F"/>
    <w:rsid w:val="002A6B41"/>
    <w:rsid w:val="002C1FA0"/>
    <w:rsid w:val="002D0092"/>
    <w:rsid w:val="002D57A8"/>
    <w:rsid w:val="002D6024"/>
    <w:rsid w:val="002D7336"/>
    <w:rsid w:val="002E3A16"/>
    <w:rsid w:val="002E5E4C"/>
    <w:rsid w:val="002F2518"/>
    <w:rsid w:val="003023BE"/>
    <w:rsid w:val="00316A31"/>
    <w:rsid w:val="0032176A"/>
    <w:rsid w:val="003259C1"/>
    <w:rsid w:val="00325FDE"/>
    <w:rsid w:val="003324BE"/>
    <w:rsid w:val="00335895"/>
    <w:rsid w:val="00343851"/>
    <w:rsid w:val="00344B4D"/>
    <w:rsid w:val="003473B7"/>
    <w:rsid w:val="003566C7"/>
    <w:rsid w:val="00360671"/>
    <w:rsid w:val="0036475D"/>
    <w:rsid w:val="00370BF5"/>
    <w:rsid w:val="00375DA7"/>
    <w:rsid w:val="00377388"/>
    <w:rsid w:val="003839CA"/>
    <w:rsid w:val="003871F4"/>
    <w:rsid w:val="003906C4"/>
    <w:rsid w:val="00391E13"/>
    <w:rsid w:val="003942D5"/>
    <w:rsid w:val="00396E3A"/>
    <w:rsid w:val="003A208A"/>
    <w:rsid w:val="003A2D79"/>
    <w:rsid w:val="003B7126"/>
    <w:rsid w:val="003B7423"/>
    <w:rsid w:val="003C7D75"/>
    <w:rsid w:val="003D01E3"/>
    <w:rsid w:val="003D1873"/>
    <w:rsid w:val="003D5074"/>
    <w:rsid w:val="003D7149"/>
    <w:rsid w:val="003E21C7"/>
    <w:rsid w:val="003E285F"/>
    <w:rsid w:val="003E66B7"/>
    <w:rsid w:val="003E7A91"/>
    <w:rsid w:val="003F113A"/>
    <w:rsid w:val="00401FBD"/>
    <w:rsid w:val="00402424"/>
    <w:rsid w:val="00402531"/>
    <w:rsid w:val="004037E6"/>
    <w:rsid w:val="0040598E"/>
    <w:rsid w:val="00405BE0"/>
    <w:rsid w:val="00420071"/>
    <w:rsid w:val="00446E72"/>
    <w:rsid w:val="00451669"/>
    <w:rsid w:val="00451F29"/>
    <w:rsid w:val="00456946"/>
    <w:rsid w:val="004620B5"/>
    <w:rsid w:val="004638C3"/>
    <w:rsid w:val="00472F54"/>
    <w:rsid w:val="00474E34"/>
    <w:rsid w:val="00487575"/>
    <w:rsid w:val="00491128"/>
    <w:rsid w:val="00492025"/>
    <w:rsid w:val="00493A35"/>
    <w:rsid w:val="004A29DC"/>
    <w:rsid w:val="004B1040"/>
    <w:rsid w:val="004B1F6F"/>
    <w:rsid w:val="004C0C43"/>
    <w:rsid w:val="004C1993"/>
    <w:rsid w:val="004C5AE0"/>
    <w:rsid w:val="004D42A3"/>
    <w:rsid w:val="004E2790"/>
    <w:rsid w:val="004E78DD"/>
    <w:rsid w:val="004F3BE2"/>
    <w:rsid w:val="00501D0B"/>
    <w:rsid w:val="005150E4"/>
    <w:rsid w:val="00520073"/>
    <w:rsid w:val="00542C6F"/>
    <w:rsid w:val="0056500C"/>
    <w:rsid w:val="005654AE"/>
    <w:rsid w:val="00566C77"/>
    <w:rsid w:val="00570262"/>
    <w:rsid w:val="005717DF"/>
    <w:rsid w:val="00577C44"/>
    <w:rsid w:val="005819F0"/>
    <w:rsid w:val="00582210"/>
    <w:rsid w:val="00586341"/>
    <w:rsid w:val="0058775D"/>
    <w:rsid w:val="005A004D"/>
    <w:rsid w:val="005A0577"/>
    <w:rsid w:val="005A1973"/>
    <w:rsid w:val="005A4F15"/>
    <w:rsid w:val="005B17EE"/>
    <w:rsid w:val="005B6276"/>
    <w:rsid w:val="005C1419"/>
    <w:rsid w:val="005D176B"/>
    <w:rsid w:val="005E2D62"/>
    <w:rsid w:val="005E518A"/>
    <w:rsid w:val="005F58E1"/>
    <w:rsid w:val="005F5D35"/>
    <w:rsid w:val="00603EF5"/>
    <w:rsid w:val="00610006"/>
    <w:rsid w:val="0061053F"/>
    <w:rsid w:val="006119CC"/>
    <w:rsid w:val="00612880"/>
    <w:rsid w:val="006271B5"/>
    <w:rsid w:val="0063435F"/>
    <w:rsid w:val="00652EE5"/>
    <w:rsid w:val="00655771"/>
    <w:rsid w:val="00663751"/>
    <w:rsid w:val="00663A81"/>
    <w:rsid w:val="00667788"/>
    <w:rsid w:val="006707B3"/>
    <w:rsid w:val="00677F7F"/>
    <w:rsid w:val="00682365"/>
    <w:rsid w:val="006837F9"/>
    <w:rsid w:val="00687B67"/>
    <w:rsid w:val="006944D9"/>
    <w:rsid w:val="006A161C"/>
    <w:rsid w:val="006A324A"/>
    <w:rsid w:val="006A378D"/>
    <w:rsid w:val="006C4AC2"/>
    <w:rsid w:val="006D221A"/>
    <w:rsid w:val="006E09E7"/>
    <w:rsid w:val="006E392D"/>
    <w:rsid w:val="006E4DAD"/>
    <w:rsid w:val="006E4E31"/>
    <w:rsid w:val="006F6642"/>
    <w:rsid w:val="00702BCD"/>
    <w:rsid w:val="00707600"/>
    <w:rsid w:val="0071578E"/>
    <w:rsid w:val="00722EB7"/>
    <w:rsid w:val="007322A2"/>
    <w:rsid w:val="007427ED"/>
    <w:rsid w:val="00742E87"/>
    <w:rsid w:val="00743A17"/>
    <w:rsid w:val="00744F39"/>
    <w:rsid w:val="00745179"/>
    <w:rsid w:val="00751731"/>
    <w:rsid w:val="00761685"/>
    <w:rsid w:val="007624D0"/>
    <w:rsid w:val="0076402A"/>
    <w:rsid w:val="00764ACD"/>
    <w:rsid w:val="00766FA7"/>
    <w:rsid w:val="00772108"/>
    <w:rsid w:val="00772A85"/>
    <w:rsid w:val="007759CC"/>
    <w:rsid w:val="0078647D"/>
    <w:rsid w:val="007877CB"/>
    <w:rsid w:val="00792744"/>
    <w:rsid w:val="007B2F24"/>
    <w:rsid w:val="007C1667"/>
    <w:rsid w:val="007C6F65"/>
    <w:rsid w:val="007D38EE"/>
    <w:rsid w:val="007D7873"/>
    <w:rsid w:val="007E2E2F"/>
    <w:rsid w:val="007E6F98"/>
    <w:rsid w:val="00800C19"/>
    <w:rsid w:val="00802A1A"/>
    <w:rsid w:val="008068E3"/>
    <w:rsid w:val="00815D6F"/>
    <w:rsid w:val="00820F66"/>
    <w:rsid w:val="0082392A"/>
    <w:rsid w:val="008301D7"/>
    <w:rsid w:val="00830303"/>
    <w:rsid w:val="00832C78"/>
    <w:rsid w:val="008460BB"/>
    <w:rsid w:val="008460D1"/>
    <w:rsid w:val="00846D23"/>
    <w:rsid w:val="008553A4"/>
    <w:rsid w:val="0087379C"/>
    <w:rsid w:val="008768BA"/>
    <w:rsid w:val="00882140"/>
    <w:rsid w:val="00894DEB"/>
    <w:rsid w:val="008A0278"/>
    <w:rsid w:val="008A1D03"/>
    <w:rsid w:val="008A2470"/>
    <w:rsid w:val="008A5565"/>
    <w:rsid w:val="008B408D"/>
    <w:rsid w:val="008B6849"/>
    <w:rsid w:val="008C22DF"/>
    <w:rsid w:val="008D2A64"/>
    <w:rsid w:val="008E4E1A"/>
    <w:rsid w:val="008F7516"/>
    <w:rsid w:val="009078DE"/>
    <w:rsid w:val="00907DDF"/>
    <w:rsid w:val="009256C3"/>
    <w:rsid w:val="00925897"/>
    <w:rsid w:val="009272F0"/>
    <w:rsid w:val="00927B77"/>
    <w:rsid w:val="009341E6"/>
    <w:rsid w:val="00944932"/>
    <w:rsid w:val="009476E8"/>
    <w:rsid w:val="0095192E"/>
    <w:rsid w:val="00954C3E"/>
    <w:rsid w:val="00955EB5"/>
    <w:rsid w:val="00956475"/>
    <w:rsid w:val="009617FE"/>
    <w:rsid w:val="00980819"/>
    <w:rsid w:val="0098368D"/>
    <w:rsid w:val="00997D2C"/>
    <w:rsid w:val="009A0135"/>
    <w:rsid w:val="009B19F2"/>
    <w:rsid w:val="009B2DDF"/>
    <w:rsid w:val="009C34B3"/>
    <w:rsid w:val="009C70AE"/>
    <w:rsid w:val="009D025A"/>
    <w:rsid w:val="009D3309"/>
    <w:rsid w:val="009F0026"/>
    <w:rsid w:val="009F0457"/>
    <w:rsid w:val="009F34D1"/>
    <w:rsid w:val="00A07A5F"/>
    <w:rsid w:val="00A14B20"/>
    <w:rsid w:val="00A14E17"/>
    <w:rsid w:val="00A3042F"/>
    <w:rsid w:val="00A44809"/>
    <w:rsid w:val="00A45536"/>
    <w:rsid w:val="00A54342"/>
    <w:rsid w:val="00A555EE"/>
    <w:rsid w:val="00A55717"/>
    <w:rsid w:val="00A5762E"/>
    <w:rsid w:val="00A61DA3"/>
    <w:rsid w:val="00A72E24"/>
    <w:rsid w:val="00A7417E"/>
    <w:rsid w:val="00A80337"/>
    <w:rsid w:val="00A8493C"/>
    <w:rsid w:val="00AA3175"/>
    <w:rsid w:val="00AB3864"/>
    <w:rsid w:val="00AB414B"/>
    <w:rsid w:val="00AC0421"/>
    <w:rsid w:val="00AC564D"/>
    <w:rsid w:val="00AC7201"/>
    <w:rsid w:val="00AC7223"/>
    <w:rsid w:val="00AD336E"/>
    <w:rsid w:val="00AD3A91"/>
    <w:rsid w:val="00AD773F"/>
    <w:rsid w:val="00AE4489"/>
    <w:rsid w:val="00B04EDB"/>
    <w:rsid w:val="00B123C3"/>
    <w:rsid w:val="00B23381"/>
    <w:rsid w:val="00B24218"/>
    <w:rsid w:val="00B25509"/>
    <w:rsid w:val="00B25F06"/>
    <w:rsid w:val="00B317A2"/>
    <w:rsid w:val="00B46F6F"/>
    <w:rsid w:val="00B51440"/>
    <w:rsid w:val="00B53834"/>
    <w:rsid w:val="00B54D8E"/>
    <w:rsid w:val="00B61E90"/>
    <w:rsid w:val="00B61F09"/>
    <w:rsid w:val="00B6276A"/>
    <w:rsid w:val="00B7341B"/>
    <w:rsid w:val="00B76990"/>
    <w:rsid w:val="00B836F5"/>
    <w:rsid w:val="00B94151"/>
    <w:rsid w:val="00B9694B"/>
    <w:rsid w:val="00B96AC6"/>
    <w:rsid w:val="00BA5267"/>
    <w:rsid w:val="00BA57F2"/>
    <w:rsid w:val="00BD3206"/>
    <w:rsid w:val="00BD598B"/>
    <w:rsid w:val="00BD7CBF"/>
    <w:rsid w:val="00BE0B1D"/>
    <w:rsid w:val="00BE46AA"/>
    <w:rsid w:val="00BF12CF"/>
    <w:rsid w:val="00C130E5"/>
    <w:rsid w:val="00C13C62"/>
    <w:rsid w:val="00C1645B"/>
    <w:rsid w:val="00C2024A"/>
    <w:rsid w:val="00C22C6B"/>
    <w:rsid w:val="00C2342A"/>
    <w:rsid w:val="00C238DE"/>
    <w:rsid w:val="00C3341A"/>
    <w:rsid w:val="00C41547"/>
    <w:rsid w:val="00C446E1"/>
    <w:rsid w:val="00C579D5"/>
    <w:rsid w:val="00C624C3"/>
    <w:rsid w:val="00C83342"/>
    <w:rsid w:val="00C844A9"/>
    <w:rsid w:val="00C903FE"/>
    <w:rsid w:val="00C946AF"/>
    <w:rsid w:val="00CB1ED5"/>
    <w:rsid w:val="00CC3D10"/>
    <w:rsid w:val="00CD4909"/>
    <w:rsid w:val="00CD6CCA"/>
    <w:rsid w:val="00CE184C"/>
    <w:rsid w:val="00CE4B2F"/>
    <w:rsid w:val="00D013D0"/>
    <w:rsid w:val="00D05CC1"/>
    <w:rsid w:val="00D1143C"/>
    <w:rsid w:val="00D2032C"/>
    <w:rsid w:val="00D21495"/>
    <w:rsid w:val="00D3310B"/>
    <w:rsid w:val="00D3547C"/>
    <w:rsid w:val="00D45231"/>
    <w:rsid w:val="00D51AB6"/>
    <w:rsid w:val="00D53CEA"/>
    <w:rsid w:val="00D62290"/>
    <w:rsid w:val="00D7032C"/>
    <w:rsid w:val="00D73838"/>
    <w:rsid w:val="00D73A0F"/>
    <w:rsid w:val="00D859B7"/>
    <w:rsid w:val="00D86DC1"/>
    <w:rsid w:val="00D921C4"/>
    <w:rsid w:val="00D93225"/>
    <w:rsid w:val="00DA11A2"/>
    <w:rsid w:val="00DA520D"/>
    <w:rsid w:val="00DB458C"/>
    <w:rsid w:val="00DB7FE8"/>
    <w:rsid w:val="00DD1246"/>
    <w:rsid w:val="00DD2F93"/>
    <w:rsid w:val="00DE13CA"/>
    <w:rsid w:val="00DE5F46"/>
    <w:rsid w:val="00DE7097"/>
    <w:rsid w:val="00DE7E11"/>
    <w:rsid w:val="00DF3A6B"/>
    <w:rsid w:val="00DF78FF"/>
    <w:rsid w:val="00E047D3"/>
    <w:rsid w:val="00E12DA5"/>
    <w:rsid w:val="00E22232"/>
    <w:rsid w:val="00E343AE"/>
    <w:rsid w:val="00E476C1"/>
    <w:rsid w:val="00E55F6C"/>
    <w:rsid w:val="00E6025B"/>
    <w:rsid w:val="00E64E60"/>
    <w:rsid w:val="00E70B49"/>
    <w:rsid w:val="00E752AC"/>
    <w:rsid w:val="00E76CB3"/>
    <w:rsid w:val="00E81F3A"/>
    <w:rsid w:val="00E828D1"/>
    <w:rsid w:val="00E95646"/>
    <w:rsid w:val="00EA1D6E"/>
    <w:rsid w:val="00EB281B"/>
    <w:rsid w:val="00EB67C0"/>
    <w:rsid w:val="00EC46AB"/>
    <w:rsid w:val="00ED316D"/>
    <w:rsid w:val="00ED490E"/>
    <w:rsid w:val="00EE2014"/>
    <w:rsid w:val="00EE7447"/>
    <w:rsid w:val="00EF6128"/>
    <w:rsid w:val="00F05896"/>
    <w:rsid w:val="00F17898"/>
    <w:rsid w:val="00F20CFC"/>
    <w:rsid w:val="00F31615"/>
    <w:rsid w:val="00F32DB1"/>
    <w:rsid w:val="00F35C89"/>
    <w:rsid w:val="00F44916"/>
    <w:rsid w:val="00F47CAB"/>
    <w:rsid w:val="00F61C7E"/>
    <w:rsid w:val="00F65284"/>
    <w:rsid w:val="00F67C75"/>
    <w:rsid w:val="00F749D3"/>
    <w:rsid w:val="00F811A2"/>
    <w:rsid w:val="00F81560"/>
    <w:rsid w:val="00F818C8"/>
    <w:rsid w:val="00F8526A"/>
    <w:rsid w:val="00F85565"/>
    <w:rsid w:val="00F92105"/>
    <w:rsid w:val="00FB751D"/>
    <w:rsid w:val="00FD1370"/>
    <w:rsid w:val="00FE0F84"/>
    <w:rsid w:val="00FE107C"/>
    <w:rsid w:val="00FE13DA"/>
    <w:rsid w:val="00FE329D"/>
    <w:rsid w:val="00FE7670"/>
    <w:rsid w:val="2EA03B67"/>
    <w:rsid w:val="343C3416"/>
    <w:rsid w:val="50B179ED"/>
    <w:rsid w:val="754F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C487608"/>
  <w15:docId w15:val="{AEAEA18B-BFB0-4D86-911B-1398DA6A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rPr>
      <w:rFonts w:ascii="宋体" w:hAnsi="宋体"/>
      <w:kern w:val="2"/>
      <w:sz w:val="18"/>
      <w:szCs w:val="18"/>
    </w:rPr>
  </w:style>
  <w:style w:type="character" w:customStyle="1" w:styleId="Char">
    <w:name w:val="批注文字 Char"/>
    <w:basedOn w:val="a0"/>
    <w:link w:val="a3"/>
    <w:uiPriority w:val="99"/>
    <w:semiHidden/>
    <w:rPr>
      <w:rFonts w:ascii="宋体" w:hAnsi="宋体"/>
      <w:kern w:val="2"/>
      <w:sz w:val="28"/>
      <w:szCs w:val="24"/>
    </w:rPr>
  </w:style>
  <w:style w:type="character" w:customStyle="1" w:styleId="Char3">
    <w:name w:val="批注主题 Char"/>
    <w:basedOn w:val="Char"/>
    <w:link w:val="a7"/>
    <w:uiPriority w:val="99"/>
    <w:semiHidden/>
    <w:qFormat/>
    <w:rPr>
      <w:rFonts w:ascii="宋体" w:hAnsi="宋体"/>
      <w:b/>
      <w:bCs/>
      <w:kern w:val="2"/>
      <w:sz w:val="28"/>
      <w:szCs w:val="24"/>
    </w:rPr>
  </w:style>
  <w:style w:type="character" w:customStyle="1" w:styleId="fontstyle01">
    <w:name w:val="fontstyle01"/>
    <w:basedOn w:val="a0"/>
    <w:rPr>
      <w:rFonts w:ascii="宋体" w:eastAsia="宋体" w:hAnsi="宋体" w:hint="eastAsia"/>
      <w:color w:val="000000"/>
      <w:sz w:val="24"/>
      <w:szCs w:val="24"/>
    </w:rPr>
  </w:style>
  <w:style w:type="character" w:customStyle="1" w:styleId="fontstyle21">
    <w:name w:val="fontstyle21"/>
    <w:basedOn w:val="a0"/>
    <w:rPr>
      <w:rFonts w:ascii="Times New Roman" w:hAnsi="Times New Roman" w:cs="Times New Roman" w:hint="default"/>
      <w:color w:val="000000"/>
      <w:sz w:val="24"/>
      <w:szCs w:val="24"/>
    </w:rPr>
  </w:style>
  <w:style w:type="paragraph" w:customStyle="1" w:styleId="1">
    <w:name w:val="修订1"/>
    <w:hidden/>
    <w:uiPriority w:val="99"/>
    <w:semiHidden/>
    <w:rPr>
      <w:rFonts w:ascii="宋体" w:hAnsi="宋体"/>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699592">
      <w:bodyDiv w:val="1"/>
      <w:marLeft w:val="0"/>
      <w:marRight w:val="0"/>
      <w:marTop w:val="0"/>
      <w:marBottom w:val="0"/>
      <w:divBdr>
        <w:top w:val="none" w:sz="0" w:space="0" w:color="auto"/>
        <w:left w:val="none" w:sz="0" w:space="0" w:color="auto"/>
        <w:bottom w:val="none" w:sz="0" w:space="0" w:color="auto"/>
        <w:right w:val="none" w:sz="0" w:space="0" w:color="auto"/>
      </w:divBdr>
      <w:divsChild>
        <w:div w:id="1998261337">
          <w:marLeft w:val="0"/>
          <w:marRight w:val="0"/>
          <w:marTop w:val="0"/>
          <w:marBottom w:val="0"/>
          <w:divBdr>
            <w:top w:val="none" w:sz="0" w:space="0" w:color="auto"/>
            <w:left w:val="none" w:sz="0" w:space="0" w:color="auto"/>
            <w:bottom w:val="none" w:sz="0" w:space="0" w:color="auto"/>
            <w:right w:val="none" w:sz="0" w:space="0" w:color="auto"/>
          </w:divBdr>
        </w:div>
        <w:div w:id="824778606">
          <w:marLeft w:val="0"/>
          <w:marRight w:val="0"/>
          <w:marTop w:val="0"/>
          <w:marBottom w:val="0"/>
          <w:divBdr>
            <w:top w:val="none" w:sz="0" w:space="0" w:color="auto"/>
            <w:left w:val="none" w:sz="0" w:space="0" w:color="auto"/>
            <w:bottom w:val="none" w:sz="0" w:space="0" w:color="auto"/>
            <w:right w:val="none" w:sz="0" w:space="0" w:color="auto"/>
          </w:divBdr>
        </w:div>
        <w:div w:id="1411923420">
          <w:marLeft w:val="0"/>
          <w:marRight w:val="0"/>
          <w:marTop w:val="0"/>
          <w:marBottom w:val="0"/>
          <w:divBdr>
            <w:top w:val="none" w:sz="0" w:space="0" w:color="auto"/>
            <w:left w:val="none" w:sz="0" w:space="0" w:color="auto"/>
            <w:bottom w:val="none" w:sz="0" w:space="0" w:color="auto"/>
            <w:right w:val="none" w:sz="0" w:space="0" w:color="auto"/>
          </w:divBdr>
        </w:div>
        <w:div w:id="959607596">
          <w:marLeft w:val="0"/>
          <w:marRight w:val="0"/>
          <w:marTop w:val="0"/>
          <w:marBottom w:val="0"/>
          <w:divBdr>
            <w:top w:val="none" w:sz="0" w:space="0" w:color="auto"/>
            <w:left w:val="none" w:sz="0" w:space="0" w:color="auto"/>
            <w:bottom w:val="none" w:sz="0" w:space="0" w:color="auto"/>
            <w:right w:val="none" w:sz="0" w:space="0" w:color="auto"/>
          </w:divBdr>
        </w:div>
        <w:div w:id="146283780">
          <w:marLeft w:val="0"/>
          <w:marRight w:val="0"/>
          <w:marTop w:val="0"/>
          <w:marBottom w:val="0"/>
          <w:divBdr>
            <w:top w:val="none" w:sz="0" w:space="0" w:color="auto"/>
            <w:left w:val="none" w:sz="0" w:space="0" w:color="auto"/>
            <w:bottom w:val="none" w:sz="0" w:space="0" w:color="auto"/>
            <w:right w:val="none" w:sz="0" w:space="0" w:color="auto"/>
          </w:divBdr>
        </w:div>
        <w:div w:id="566188261">
          <w:marLeft w:val="0"/>
          <w:marRight w:val="0"/>
          <w:marTop w:val="0"/>
          <w:marBottom w:val="0"/>
          <w:divBdr>
            <w:top w:val="none" w:sz="0" w:space="0" w:color="auto"/>
            <w:left w:val="none" w:sz="0" w:space="0" w:color="auto"/>
            <w:bottom w:val="none" w:sz="0" w:space="0" w:color="auto"/>
            <w:right w:val="none" w:sz="0" w:space="0" w:color="auto"/>
          </w:divBdr>
        </w:div>
        <w:div w:id="17816828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4</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daxing zhu</cp:lastModifiedBy>
  <cp:revision>71</cp:revision>
  <cp:lastPrinted>2021-10-25T06:23:00Z</cp:lastPrinted>
  <dcterms:created xsi:type="dcterms:W3CDTF">2021-10-25T05:29:00Z</dcterms:created>
  <dcterms:modified xsi:type="dcterms:W3CDTF">2022-12-28T02:38:00Z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9661D5E00F9C4E0BBD4B44F0BEC88BBB</vt:lpwstr>
  </property>
</Properties>
</file>